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38" w:rsidRDefault="0011557C">
      <w:pPr>
        <w:widowControl/>
        <w:kinsoku w:val="0"/>
        <w:autoSpaceDE w:val="0"/>
        <w:autoSpaceDN w:val="0"/>
        <w:adjustRightInd w:val="0"/>
        <w:snapToGrid w:val="0"/>
        <w:spacing w:before="100" w:line="224" w:lineRule="auto"/>
        <w:ind w:left="104"/>
        <w:jc w:val="left"/>
        <w:textAlignment w:val="baseline"/>
        <w:rPr>
          <w:rFonts w:ascii="Times New Roman" w:eastAsia="仿宋_GB2312" w:hAnsi="Times New Roman" w:cs="Times New Roman"/>
          <w:color w:val="000000"/>
          <w:kern w:val="0"/>
          <w:sz w:val="32"/>
          <w:szCs w:val="32"/>
        </w:rPr>
      </w:pPr>
      <w:r>
        <w:rPr>
          <w:rFonts w:ascii="黑体" w:eastAsia="黑体" w:hAnsi="黑体" w:cs="黑体" w:hint="eastAsia"/>
          <w:snapToGrid w:val="0"/>
          <w:color w:val="000000"/>
          <w:spacing w:val="16"/>
          <w:kern w:val="0"/>
          <w:sz w:val="28"/>
          <w:szCs w:val="28"/>
        </w:rPr>
        <w:t>附件</w:t>
      </w:r>
      <w:r>
        <w:rPr>
          <w:rFonts w:ascii="黑体" w:eastAsia="黑体" w:hAnsi="黑体" w:cs="黑体" w:hint="eastAsia"/>
          <w:snapToGrid w:val="0"/>
          <w:color w:val="000000"/>
          <w:spacing w:val="16"/>
          <w:kern w:val="0"/>
          <w:sz w:val="28"/>
          <w:szCs w:val="28"/>
        </w:rPr>
        <w:t>11:</w:t>
      </w:r>
    </w:p>
    <w:p w:rsidR="00745238" w:rsidRDefault="0011557C">
      <w:pPr>
        <w:widowControl/>
        <w:tabs>
          <w:tab w:val="left" w:pos="3611"/>
          <w:tab w:val="left" w:pos="4791"/>
          <w:tab w:val="left" w:pos="5951"/>
          <w:tab w:val="left" w:pos="7071"/>
          <w:tab w:val="left" w:pos="8191"/>
          <w:tab w:val="left" w:pos="9311"/>
        </w:tabs>
        <w:ind w:left="91"/>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项目支出绩效自评表</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80"/>
        <w:gridCol w:w="1080"/>
        <w:gridCol w:w="1149"/>
        <w:gridCol w:w="1209"/>
        <w:gridCol w:w="1134"/>
        <w:gridCol w:w="828"/>
        <w:gridCol w:w="873"/>
        <w:gridCol w:w="1418"/>
      </w:tblGrid>
      <w:tr w:rsidR="00745238">
        <w:trPr>
          <w:trHeight w:val="568"/>
        </w:trPr>
        <w:tc>
          <w:tcPr>
            <w:tcW w:w="1080"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项目支</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出名称</w:t>
            </w:r>
          </w:p>
        </w:tc>
        <w:tc>
          <w:tcPr>
            <w:tcW w:w="8771" w:type="dxa"/>
            <w:gridSpan w:val="8"/>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特费</w:t>
            </w:r>
          </w:p>
        </w:tc>
      </w:tr>
      <w:tr w:rsidR="00745238">
        <w:trPr>
          <w:trHeight w:val="340"/>
        </w:trPr>
        <w:tc>
          <w:tcPr>
            <w:tcW w:w="1080"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主管部门</w:t>
            </w:r>
          </w:p>
        </w:tc>
        <w:tc>
          <w:tcPr>
            <w:tcW w:w="4518" w:type="dxa"/>
            <w:gridSpan w:val="4"/>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34"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实施单位</w:t>
            </w:r>
          </w:p>
        </w:tc>
        <w:tc>
          <w:tcPr>
            <w:tcW w:w="3119" w:type="dxa"/>
            <w:gridSpan w:val="3"/>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邵阳市委统战部</w:t>
            </w:r>
          </w:p>
        </w:tc>
      </w:tr>
      <w:tr w:rsidR="00745238">
        <w:trPr>
          <w:trHeight w:val="340"/>
        </w:trPr>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项目资金</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（万元）</w:t>
            </w:r>
          </w:p>
        </w:tc>
        <w:tc>
          <w:tcPr>
            <w:tcW w:w="2160" w:type="dxa"/>
            <w:gridSpan w:val="2"/>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49"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年初</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预算数</w:t>
            </w:r>
          </w:p>
        </w:tc>
        <w:tc>
          <w:tcPr>
            <w:tcW w:w="1209"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全年</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预算数</w:t>
            </w:r>
          </w:p>
        </w:tc>
        <w:tc>
          <w:tcPr>
            <w:tcW w:w="1134" w:type="dxa"/>
            <w:vAlign w:val="center"/>
          </w:tcPr>
          <w:p w:rsidR="00745238" w:rsidRDefault="0011557C">
            <w:pPr>
              <w:widowControl/>
              <w:spacing w:line="280" w:lineRule="exact"/>
              <w:jc w:val="center"/>
              <w:rPr>
                <w:rFonts w:ascii="仿宋" w:eastAsia="仿宋" w:hAnsi="仿宋" w:cs="仿宋"/>
                <w:sz w:val="20"/>
                <w:szCs w:val="20"/>
              </w:rPr>
            </w:pPr>
            <w:r>
              <w:rPr>
                <w:rFonts w:ascii="仿宋" w:eastAsia="仿宋" w:hAnsi="仿宋" w:cs="仿宋" w:hint="eastAsia"/>
                <w:sz w:val="20"/>
                <w:szCs w:val="20"/>
              </w:rPr>
              <w:t>全年</w:t>
            </w:r>
          </w:p>
          <w:p w:rsidR="00745238" w:rsidRDefault="0011557C">
            <w:pPr>
              <w:widowControl/>
              <w:spacing w:line="280" w:lineRule="exact"/>
              <w:jc w:val="center"/>
              <w:rPr>
                <w:rFonts w:ascii="仿宋" w:eastAsia="仿宋" w:hAnsi="仿宋" w:cs="仿宋"/>
                <w:sz w:val="20"/>
                <w:szCs w:val="20"/>
              </w:rPr>
            </w:pPr>
            <w:r>
              <w:rPr>
                <w:rFonts w:ascii="仿宋" w:eastAsia="仿宋" w:hAnsi="仿宋" w:cs="仿宋" w:hint="eastAsia"/>
                <w:sz w:val="20"/>
                <w:szCs w:val="20"/>
              </w:rPr>
              <w:t>执行数</w:t>
            </w:r>
          </w:p>
        </w:tc>
        <w:tc>
          <w:tcPr>
            <w:tcW w:w="828" w:type="dxa"/>
            <w:vAlign w:val="center"/>
          </w:tcPr>
          <w:p w:rsidR="00745238" w:rsidRDefault="0011557C">
            <w:pPr>
              <w:widowControl/>
              <w:spacing w:line="280" w:lineRule="exact"/>
              <w:jc w:val="center"/>
              <w:rPr>
                <w:rFonts w:ascii="仿宋" w:eastAsia="仿宋" w:hAnsi="仿宋" w:cs="仿宋"/>
                <w:sz w:val="20"/>
                <w:szCs w:val="20"/>
              </w:rPr>
            </w:pPr>
            <w:r>
              <w:rPr>
                <w:rFonts w:ascii="仿宋" w:eastAsia="仿宋" w:hAnsi="仿宋" w:cs="仿宋" w:hint="eastAsia"/>
                <w:sz w:val="20"/>
                <w:szCs w:val="20"/>
              </w:rPr>
              <w:t>分值</w:t>
            </w:r>
          </w:p>
        </w:tc>
        <w:tc>
          <w:tcPr>
            <w:tcW w:w="873" w:type="dxa"/>
            <w:vAlign w:val="center"/>
          </w:tcPr>
          <w:p w:rsidR="00745238" w:rsidRDefault="0011557C">
            <w:pPr>
              <w:widowControl/>
              <w:spacing w:line="280" w:lineRule="exact"/>
              <w:jc w:val="center"/>
              <w:rPr>
                <w:rFonts w:ascii="仿宋" w:eastAsia="仿宋" w:hAnsi="仿宋" w:cs="仿宋"/>
                <w:sz w:val="20"/>
                <w:szCs w:val="20"/>
              </w:rPr>
            </w:pPr>
            <w:r>
              <w:rPr>
                <w:rFonts w:ascii="仿宋" w:eastAsia="仿宋" w:hAnsi="仿宋" w:cs="仿宋" w:hint="eastAsia"/>
                <w:sz w:val="20"/>
                <w:szCs w:val="20"/>
              </w:rPr>
              <w:t>执行率</w:t>
            </w:r>
          </w:p>
        </w:tc>
        <w:tc>
          <w:tcPr>
            <w:tcW w:w="1418" w:type="dxa"/>
            <w:vAlign w:val="center"/>
          </w:tcPr>
          <w:p w:rsidR="00745238" w:rsidRDefault="0011557C">
            <w:pPr>
              <w:widowControl/>
              <w:spacing w:line="280" w:lineRule="exact"/>
              <w:jc w:val="center"/>
              <w:rPr>
                <w:rFonts w:ascii="仿宋" w:eastAsia="仿宋" w:hAnsi="仿宋" w:cs="仿宋"/>
                <w:sz w:val="20"/>
                <w:szCs w:val="20"/>
              </w:rPr>
            </w:pPr>
            <w:r>
              <w:rPr>
                <w:rFonts w:ascii="仿宋" w:eastAsia="仿宋" w:hAnsi="仿宋" w:cs="仿宋" w:hint="eastAsia"/>
                <w:sz w:val="20"/>
                <w:szCs w:val="20"/>
              </w:rPr>
              <w:t>得分</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2160" w:type="dxa"/>
            <w:gridSpan w:val="2"/>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年度资金总额　</w:t>
            </w: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58</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4</w:t>
            </w:r>
            <w:r>
              <w:rPr>
                <w:rFonts w:ascii="仿宋" w:eastAsia="仿宋" w:hAnsi="仿宋" w:cs="仿宋" w:hint="eastAsia"/>
                <w:color w:val="000000"/>
                <w:kern w:val="0"/>
                <w:sz w:val="20"/>
                <w:szCs w:val="20"/>
              </w:rPr>
              <w:t>5.03</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45.03</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77.64%</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2160" w:type="dxa"/>
            <w:gridSpan w:val="2"/>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其中：当年财政拨款　</w:t>
            </w: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58</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45.03</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45.03</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2160" w:type="dxa"/>
            <w:gridSpan w:val="2"/>
            <w:vAlign w:val="center"/>
          </w:tcPr>
          <w:p w:rsidR="00745238" w:rsidRDefault="0011557C">
            <w:pPr>
              <w:widowControl/>
              <w:spacing w:line="280" w:lineRule="exact"/>
              <w:ind w:firstLineChars="300" w:firstLine="6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上年结转资金　</w:t>
            </w: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2160" w:type="dxa"/>
            <w:gridSpan w:val="2"/>
            <w:vAlign w:val="center"/>
          </w:tcPr>
          <w:p w:rsidR="00745238" w:rsidRDefault="0011557C">
            <w:pPr>
              <w:widowControl/>
              <w:spacing w:line="280" w:lineRule="exact"/>
              <w:ind w:firstLineChars="300" w:firstLine="6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其他资金</w:t>
            </w: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年度总体目标</w:t>
            </w:r>
          </w:p>
        </w:tc>
        <w:tc>
          <w:tcPr>
            <w:tcW w:w="4518" w:type="dxa"/>
            <w:gridSpan w:val="4"/>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预期目标</w:t>
            </w:r>
          </w:p>
        </w:tc>
        <w:tc>
          <w:tcPr>
            <w:tcW w:w="4253" w:type="dxa"/>
            <w:gridSpan w:val="4"/>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实际完成情况　</w:t>
            </w:r>
          </w:p>
        </w:tc>
      </w:tr>
      <w:tr w:rsidR="00745238">
        <w:trPr>
          <w:trHeight w:val="998"/>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4518" w:type="dxa"/>
            <w:gridSpan w:val="4"/>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完成统战特别工作：</w:t>
            </w:r>
          </w:p>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、强化思想政治引领。</w:t>
            </w:r>
          </w:p>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、全面贯彻落实《条例》。</w:t>
            </w:r>
          </w:p>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、加强代表人</w:t>
            </w:r>
            <w:r>
              <w:rPr>
                <w:rFonts w:ascii="仿宋" w:eastAsia="仿宋" w:hAnsi="仿宋" w:cs="仿宋" w:hint="eastAsia"/>
                <w:color w:val="000000"/>
                <w:kern w:val="0"/>
                <w:sz w:val="20"/>
                <w:szCs w:val="20"/>
              </w:rPr>
              <w:t>士</w:t>
            </w:r>
            <w:r>
              <w:rPr>
                <w:rFonts w:ascii="仿宋" w:eastAsia="仿宋" w:hAnsi="仿宋" w:cs="仿宋" w:hint="eastAsia"/>
                <w:color w:val="000000"/>
                <w:kern w:val="0"/>
                <w:sz w:val="20"/>
                <w:szCs w:val="20"/>
              </w:rPr>
              <w:t>队伍建设。</w:t>
            </w:r>
          </w:p>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4</w:t>
            </w:r>
            <w:r>
              <w:rPr>
                <w:rFonts w:ascii="仿宋" w:eastAsia="仿宋" w:hAnsi="仿宋" w:cs="仿宋" w:hint="eastAsia"/>
                <w:color w:val="000000"/>
                <w:kern w:val="0"/>
                <w:sz w:val="20"/>
                <w:szCs w:val="20"/>
              </w:rPr>
              <w:t>、推进团结进步示范创建。</w:t>
            </w:r>
          </w:p>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r>
              <w:rPr>
                <w:rFonts w:ascii="仿宋" w:eastAsia="仿宋" w:hAnsi="仿宋" w:cs="仿宋" w:hint="eastAsia"/>
                <w:color w:val="000000"/>
                <w:kern w:val="0"/>
                <w:sz w:val="20"/>
                <w:szCs w:val="20"/>
              </w:rPr>
              <w:t>、奋力开创宗教工作新局面。</w:t>
            </w:r>
          </w:p>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6</w:t>
            </w:r>
            <w:r>
              <w:rPr>
                <w:rFonts w:ascii="仿宋" w:eastAsia="仿宋" w:hAnsi="仿宋" w:cs="仿宋" w:hint="eastAsia"/>
                <w:color w:val="000000"/>
                <w:kern w:val="0"/>
                <w:sz w:val="20"/>
                <w:szCs w:val="20"/>
              </w:rPr>
              <w:t xml:space="preserve">、持续深化“凝心聚力新时代”行动。　　</w:t>
            </w:r>
          </w:p>
          <w:p w:rsidR="00745238" w:rsidRDefault="00745238">
            <w:pPr>
              <w:widowControl/>
              <w:spacing w:line="280" w:lineRule="exact"/>
              <w:jc w:val="center"/>
              <w:rPr>
                <w:rFonts w:ascii="仿宋" w:eastAsia="仿宋" w:hAnsi="仿宋" w:cs="仿宋"/>
                <w:color w:val="000000"/>
                <w:kern w:val="0"/>
                <w:sz w:val="20"/>
                <w:szCs w:val="20"/>
              </w:rPr>
            </w:pPr>
          </w:p>
        </w:tc>
        <w:tc>
          <w:tcPr>
            <w:tcW w:w="4253" w:type="dxa"/>
            <w:gridSpan w:val="4"/>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邵阳市委统战部坚持以习近平总书记关于加强和改进统一战线工作的重要思想为根本遵循，全面贯彻落实《中国共产党统一战线工作条例》和全国全省统战部长会议精神，深入开展“五大行动”，统战工作实践创新取得较好成效。在全省率先建立党委统战工作领导小组述职评议制度、推进我国伊斯兰教中国化等经验做法，得到了中央统战部调研组的充分肯定，分别被《中国统一战线》《中国宗教》予</w:t>
            </w:r>
            <w:r>
              <w:rPr>
                <w:rFonts w:ascii="仿宋" w:eastAsia="仿宋" w:hAnsi="仿宋" w:cs="仿宋" w:hint="eastAsia"/>
                <w:color w:val="000000"/>
                <w:kern w:val="0"/>
                <w:sz w:val="20"/>
                <w:szCs w:val="20"/>
              </w:rPr>
              <w:t>以宣传推介；我市党外人士关于发挥监督利剑作用的建言被中央统战部《零讯》采用。</w:t>
            </w:r>
            <w:r>
              <w:rPr>
                <w:rFonts w:ascii="仿宋" w:eastAsia="仿宋" w:hAnsi="仿宋" w:cs="仿宋" w:hint="eastAsia"/>
                <w:color w:val="000000"/>
                <w:kern w:val="0"/>
                <w:sz w:val="20"/>
                <w:szCs w:val="20"/>
              </w:rPr>
              <w:t>统战工作取得了良好的成效。</w:t>
            </w:r>
          </w:p>
          <w:p w:rsidR="00745238" w:rsidRDefault="00745238">
            <w:pPr>
              <w:widowControl/>
              <w:spacing w:line="280" w:lineRule="exact"/>
              <w:jc w:val="left"/>
              <w:rPr>
                <w:rFonts w:ascii="仿宋" w:eastAsia="仿宋" w:hAnsi="仿宋" w:cs="仿宋"/>
                <w:color w:val="000000"/>
                <w:kern w:val="0"/>
                <w:sz w:val="52"/>
                <w:szCs w:val="52"/>
              </w:rPr>
            </w:pPr>
          </w:p>
        </w:tc>
      </w:tr>
      <w:tr w:rsidR="00745238">
        <w:trPr>
          <w:trHeight w:val="550"/>
        </w:trPr>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绩</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效</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标</w:t>
            </w:r>
          </w:p>
        </w:tc>
        <w:tc>
          <w:tcPr>
            <w:tcW w:w="1080"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一级指标</w:t>
            </w:r>
          </w:p>
        </w:tc>
        <w:tc>
          <w:tcPr>
            <w:tcW w:w="1080"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二级指标</w:t>
            </w:r>
          </w:p>
        </w:tc>
        <w:tc>
          <w:tcPr>
            <w:tcW w:w="1149"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三级指标</w:t>
            </w:r>
          </w:p>
        </w:tc>
        <w:tc>
          <w:tcPr>
            <w:tcW w:w="1209"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年度</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指标值</w:t>
            </w:r>
          </w:p>
        </w:tc>
        <w:tc>
          <w:tcPr>
            <w:tcW w:w="1134"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实际</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完成值</w:t>
            </w:r>
          </w:p>
        </w:tc>
        <w:tc>
          <w:tcPr>
            <w:tcW w:w="828"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分值</w:t>
            </w:r>
          </w:p>
        </w:tc>
        <w:tc>
          <w:tcPr>
            <w:tcW w:w="873"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得分</w:t>
            </w:r>
          </w:p>
        </w:tc>
        <w:tc>
          <w:tcPr>
            <w:tcW w:w="1418"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偏差原因</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分析及</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改进措施</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产出指标</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50</w:t>
            </w:r>
            <w:r>
              <w:rPr>
                <w:rFonts w:ascii="仿宋" w:eastAsia="仿宋" w:hAnsi="仿宋" w:cs="仿宋" w:hint="eastAsia"/>
                <w:color w:val="000000"/>
                <w:kern w:val="0"/>
                <w:sz w:val="20"/>
                <w:szCs w:val="20"/>
              </w:rPr>
              <w:t>分）</w:t>
            </w: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数量指标</w:t>
            </w: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接到任务</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center"/>
              <w:rPr>
                <w:rFonts w:ascii="仿宋" w:eastAsia="仿宋" w:hAnsi="仿宋" w:cs="仿宋"/>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center"/>
              <w:rPr>
                <w:rFonts w:ascii="仿宋" w:eastAsia="仿宋" w:hAnsi="仿宋" w:cs="仿宋"/>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73"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418" w:type="dxa"/>
            <w:vAlign w:val="center"/>
          </w:tcPr>
          <w:p w:rsidR="00745238" w:rsidRDefault="00745238">
            <w:pPr>
              <w:widowControl/>
              <w:spacing w:line="280" w:lineRule="exact"/>
              <w:jc w:val="left"/>
              <w:rPr>
                <w:rFonts w:ascii="仿宋" w:eastAsia="仿宋" w:hAnsi="仿宋" w:cs="仿宋"/>
                <w:color w:val="000000"/>
                <w:kern w:val="0"/>
                <w:sz w:val="20"/>
                <w:szCs w:val="20"/>
              </w:rPr>
            </w:pP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质量指标</w:t>
            </w: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按时按质完成特别统战任务</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center"/>
              <w:rPr>
                <w:rFonts w:ascii="仿宋" w:eastAsia="仿宋" w:hAnsi="仿宋" w:cs="仿宋"/>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center"/>
              <w:rPr>
                <w:rFonts w:ascii="仿宋" w:eastAsia="仿宋" w:hAnsi="仿宋" w:cs="仿宋"/>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73"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418" w:type="dxa"/>
            <w:vAlign w:val="center"/>
          </w:tcPr>
          <w:p w:rsidR="00745238" w:rsidRDefault="00745238">
            <w:pPr>
              <w:widowControl/>
              <w:spacing w:line="280" w:lineRule="exact"/>
              <w:jc w:val="left"/>
              <w:rPr>
                <w:rFonts w:ascii="仿宋" w:eastAsia="仿宋" w:hAnsi="仿宋" w:cs="仿宋"/>
                <w:color w:val="000000"/>
                <w:kern w:val="0"/>
                <w:sz w:val="20"/>
                <w:szCs w:val="20"/>
              </w:rPr>
            </w:pP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时效指标</w:t>
            </w: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本年度完成相应统战任务</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年末由于财政关账原因，末能支付成功。</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center"/>
              <w:rPr>
                <w:rFonts w:ascii="仿宋" w:eastAsia="仿宋" w:hAnsi="仿宋" w:cs="仿宋"/>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73"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418" w:type="dxa"/>
            <w:vAlign w:val="center"/>
          </w:tcPr>
          <w:p w:rsidR="00745238" w:rsidRDefault="00745238">
            <w:pPr>
              <w:widowControl/>
              <w:spacing w:line="280" w:lineRule="exact"/>
              <w:jc w:val="left"/>
              <w:rPr>
                <w:rFonts w:ascii="仿宋" w:eastAsia="仿宋" w:hAnsi="仿宋" w:cs="仿宋"/>
                <w:color w:val="000000"/>
                <w:kern w:val="0"/>
                <w:sz w:val="20"/>
                <w:szCs w:val="20"/>
              </w:rPr>
            </w:pP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成本指标</w:t>
            </w: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统战特费</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58</w:t>
            </w:r>
            <w:r>
              <w:rPr>
                <w:rFonts w:ascii="仿宋" w:eastAsia="仿宋" w:hAnsi="仿宋" w:cs="仿宋" w:hint="eastAsia"/>
                <w:color w:val="000000"/>
                <w:kern w:val="0"/>
                <w:sz w:val="20"/>
                <w:szCs w:val="20"/>
              </w:rPr>
              <w:t>万</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73"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418" w:type="dxa"/>
            <w:vAlign w:val="center"/>
          </w:tcPr>
          <w:p w:rsidR="00745238" w:rsidRDefault="00745238">
            <w:pPr>
              <w:widowControl/>
              <w:spacing w:line="280" w:lineRule="exact"/>
              <w:jc w:val="left"/>
              <w:rPr>
                <w:rFonts w:ascii="仿宋" w:eastAsia="仿宋" w:hAnsi="仿宋" w:cs="仿宋"/>
                <w:color w:val="000000"/>
                <w:kern w:val="0"/>
                <w:sz w:val="20"/>
                <w:szCs w:val="20"/>
              </w:rPr>
            </w:pP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restart"/>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效益指标</w:t>
            </w:r>
          </w:p>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30</w:t>
            </w:r>
            <w:r>
              <w:rPr>
                <w:rFonts w:ascii="仿宋" w:eastAsia="仿宋" w:hAnsi="仿宋" w:cs="仿宋" w:hint="eastAsia"/>
                <w:color w:val="000000"/>
                <w:kern w:val="0"/>
                <w:sz w:val="20"/>
                <w:szCs w:val="20"/>
              </w:rPr>
              <w:t>分）</w:t>
            </w: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经济效</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益指标</w:t>
            </w: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center"/>
              <w:rPr>
                <w:rFonts w:ascii="仿宋" w:eastAsia="仿宋" w:hAnsi="仿宋" w:cs="仿宋"/>
                <w:color w:val="000000"/>
                <w:kern w:val="0"/>
                <w:sz w:val="20"/>
                <w:szCs w:val="20"/>
              </w:rPr>
            </w:pP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社会效</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益指标</w:t>
            </w: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有效促进特别工作的开展</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95%</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center"/>
              <w:rPr>
                <w:rFonts w:ascii="仿宋" w:eastAsia="仿宋" w:hAnsi="仿宋" w:cs="仿宋"/>
                <w:b/>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Align w:val="center"/>
          </w:tcPr>
          <w:p w:rsidR="00745238" w:rsidRDefault="00745238">
            <w:pPr>
              <w:widowControl/>
              <w:spacing w:line="280" w:lineRule="exact"/>
              <w:jc w:val="center"/>
              <w:rPr>
                <w:rFonts w:ascii="仿宋" w:eastAsia="仿宋" w:hAnsi="仿宋" w:cs="仿宋"/>
                <w:b/>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73"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418" w:type="dxa"/>
            <w:vAlign w:val="center"/>
          </w:tcPr>
          <w:p w:rsidR="00745238" w:rsidRDefault="00745238">
            <w:pPr>
              <w:widowControl/>
              <w:spacing w:line="280" w:lineRule="exact"/>
              <w:jc w:val="left"/>
              <w:rPr>
                <w:rFonts w:ascii="仿宋" w:eastAsia="仿宋" w:hAnsi="仿宋" w:cs="仿宋"/>
                <w:color w:val="000000"/>
                <w:kern w:val="0"/>
                <w:sz w:val="20"/>
                <w:szCs w:val="20"/>
              </w:rPr>
            </w:pP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生态效</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益指标</w:t>
            </w: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center"/>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可持续影响指标</w:t>
            </w: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满意度</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分）</w:t>
            </w:r>
          </w:p>
        </w:tc>
        <w:tc>
          <w:tcPr>
            <w:tcW w:w="1080" w:type="dxa"/>
            <w:vMerge w:val="restart"/>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服务对象满意度指标</w:t>
            </w:r>
          </w:p>
        </w:tc>
        <w:tc>
          <w:tcPr>
            <w:tcW w:w="114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服务对象满意程度</w:t>
            </w:r>
          </w:p>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90</w:t>
            </w:r>
          </w:p>
        </w:tc>
        <w:tc>
          <w:tcPr>
            <w:tcW w:w="1134"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745238">
        <w:trPr>
          <w:trHeight w:val="340"/>
        </w:trPr>
        <w:tc>
          <w:tcPr>
            <w:tcW w:w="1080"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080" w:type="dxa"/>
            <w:vMerge/>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4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209"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134"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28"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873" w:type="dxa"/>
            <w:vAlign w:val="center"/>
          </w:tcPr>
          <w:p w:rsidR="00745238" w:rsidRDefault="00745238">
            <w:pPr>
              <w:widowControl/>
              <w:spacing w:line="280" w:lineRule="exact"/>
              <w:jc w:val="left"/>
              <w:rPr>
                <w:rFonts w:ascii="仿宋" w:eastAsia="仿宋" w:hAnsi="仿宋" w:cs="仿宋"/>
                <w:color w:val="000000"/>
                <w:kern w:val="0"/>
                <w:sz w:val="20"/>
                <w:szCs w:val="20"/>
              </w:rPr>
            </w:pPr>
          </w:p>
        </w:tc>
        <w:tc>
          <w:tcPr>
            <w:tcW w:w="1418" w:type="dxa"/>
            <w:vAlign w:val="center"/>
          </w:tcPr>
          <w:p w:rsidR="00745238" w:rsidRDefault="00745238">
            <w:pPr>
              <w:widowControl/>
              <w:spacing w:line="280" w:lineRule="exact"/>
              <w:jc w:val="left"/>
              <w:rPr>
                <w:rFonts w:ascii="仿宋" w:eastAsia="仿宋" w:hAnsi="仿宋" w:cs="仿宋"/>
                <w:color w:val="000000"/>
                <w:kern w:val="0"/>
                <w:sz w:val="20"/>
                <w:szCs w:val="20"/>
              </w:rPr>
            </w:pPr>
          </w:p>
        </w:tc>
      </w:tr>
      <w:tr w:rsidR="00745238">
        <w:trPr>
          <w:trHeight w:val="340"/>
        </w:trPr>
        <w:tc>
          <w:tcPr>
            <w:tcW w:w="6732" w:type="dxa"/>
            <w:gridSpan w:val="6"/>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总分</w:t>
            </w:r>
          </w:p>
        </w:tc>
        <w:tc>
          <w:tcPr>
            <w:tcW w:w="828" w:type="dxa"/>
            <w:vAlign w:val="center"/>
          </w:tcPr>
          <w:p w:rsidR="00745238" w:rsidRDefault="0011557C">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873"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418" w:type="dxa"/>
            <w:vAlign w:val="center"/>
          </w:tcPr>
          <w:p w:rsidR="00745238" w:rsidRDefault="0011557C">
            <w:pPr>
              <w:widowControl/>
              <w:spacing w:line="28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bl>
    <w:p w:rsidR="00745238" w:rsidRDefault="0011557C">
      <w:pPr>
        <w:spacing w:line="600" w:lineRule="exac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填表人：</w:t>
      </w:r>
      <w:r>
        <w:rPr>
          <w:rFonts w:ascii="Times New Roman" w:eastAsia="仿宋_GB2312" w:hAnsi="Times New Roman" w:cs="Times New Roman" w:hint="eastAsia"/>
          <w:color w:val="000000"/>
          <w:kern w:val="0"/>
          <w:sz w:val="24"/>
        </w:rPr>
        <w:t>刘莉</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填报日期：</w:t>
      </w:r>
      <w:r>
        <w:rPr>
          <w:rFonts w:ascii="Times New Roman" w:eastAsia="仿宋_GB2312" w:hAnsi="Times New Roman" w:cs="Times New Roman" w:hint="eastAsia"/>
          <w:color w:val="000000"/>
          <w:kern w:val="0"/>
          <w:sz w:val="24"/>
        </w:rPr>
        <w:t>2023</w:t>
      </w:r>
      <w:bookmarkStart w:id="0" w:name="_GoBack"/>
      <w:bookmarkEnd w:id="0"/>
      <w:r>
        <w:rPr>
          <w:rFonts w:ascii="Times New Roman" w:eastAsia="仿宋_GB2312" w:hAnsi="Times New Roman" w:cs="Times New Roman" w:hint="eastAsia"/>
          <w:color w:val="000000"/>
          <w:kern w:val="0"/>
          <w:sz w:val="24"/>
        </w:rPr>
        <w:t>年</w:t>
      </w:r>
      <w:r>
        <w:rPr>
          <w:rFonts w:ascii="Times New Roman" w:eastAsia="仿宋_GB2312" w:hAnsi="Times New Roman" w:cs="Times New Roman" w:hint="eastAsia"/>
          <w:color w:val="000000"/>
          <w:kern w:val="0"/>
          <w:sz w:val="24"/>
        </w:rPr>
        <w:t>4</w:t>
      </w:r>
      <w:r>
        <w:rPr>
          <w:rFonts w:ascii="Times New Roman" w:eastAsia="仿宋_GB2312" w:hAnsi="Times New Roman" w:cs="Times New Roman" w:hint="eastAsia"/>
          <w:color w:val="000000"/>
          <w:kern w:val="0"/>
          <w:sz w:val="24"/>
        </w:rPr>
        <w:t>月</w:t>
      </w:r>
      <w:r>
        <w:rPr>
          <w:rFonts w:ascii="Times New Roman" w:eastAsia="仿宋_GB2312" w:hAnsi="Times New Roman" w:cs="Times New Roman" w:hint="eastAsia"/>
          <w:color w:val="000000"/>
          <w:kern w:val="0"/>
          <w:sz w:val="24"/>
        </w:rPr>
        <w:t>15</w:t>
      </w:r>
      <w:r>
        <w:rPr>
          <w:rFonts w:ascii="Times New Roman" w:eastAsia="仿宋_GB2312" w:hAnsi="Times New Roman" w:cs="Times New Roman" w:hint="eastAsia"/>
          <w:color w:val="000000"/>
          <w:kern w:val="0"/>
          <w:sz w:val="24"/>
        </w:rPr>
        <w:t>日</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联系电话：</w:t>
      </w:r>
      <w:r>
        <w:rPr>
          <w:rFonts w:ascii="Times New Roman" w:eastAsia="仿宋_GB2312" w:hAnsi="Times New Roman" w:cs="Times New Roman" w:hint="eastAsia"/>
          <w:color w:val="000000"/>
          <w:kern w:val="0"/>
          <w:sz w:val="24"/>
        </w:rPr>
        <w:t>18397684761</w:t>
      </w:r>
    </w:p>
    <w:sectPr w:rsidR="00745238" w:rsidSect="007452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swiss"/>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方正小标宋简体">
    <w:altName w:val="Arial Unicode MS"/>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2M4MDU5NTgwODUzZmY0ZjdmZGJmNTVjNzI1MWE2ZmMifQ=="/>
  </w:docVars>
  <w:rsids>
    <w:rsidRoot w:val="1275143D"/>
    <w:rsid w:val="9D7F5A0F"/>
    <w:rsid w:val="CDE7CA67"/>
    <w:rsid w:val="FDFE27DB"/>
    <w:rsid w:val="0011557C"/>
    <w:rsid w:val="00115C78"/>
    <w:rsid w:val="00127F3B"/>
    <w:rsid w:val="00160D9E"/>
    <w:rsid w:val="00193C28"/>
    <w:rsid w:val="00210B4D"/>
    <w:rsid w:val="00256D2F"/>
    <w:rsid w:val="00380F4B"/>
    <w:rsid w:val="00745238"/>
    <w:rsid w:val="008E2B61"/>
    <w:rsid w:val="00A73AD9"/>
    <w:rsid w:val="00C24297"/>
    <w:rsid w:val="00CC64D3"/>
    <w:rsid w:val="00DD3E3E"/>
    <w:rsid w:val="00E6753B"/>
    <w:rsid w:val="020D4E88"/>
    <w:rsid w:val="02225B04"/>
    <w:rsid w:val="024C2B81"/>
    <w:rsid w:val="05080D88"/>
    <w:rsid w:val="1275143D"/>
    <w:rsid w:val="32467895"/>
    <w:rsid w:val="3EFAE2CD"/>
    <w:rsid w:val="4DFF515B"/>
    <w:rsid w:val="54882DE1"/>
    <w:rsid w:val="6C774C1E"/>
    <w:rsid w:val="7DF74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238"/>
    <w:pPr>
      <w:widowControl w:val="0"/>
      <w:jc w:val="both"/>
    </w:pPr>
    <w:rPr>
      <w:kern w:val="2"/>
      <w:sz w:val="21"/>
      <w:szCs w:val="24"/>
    </w:rPr>
  </w:style>
  <w:style w:type="paragraph" w:styleId="1">
    <w:name w:val="heading 1"/>
    <w:basedOn w:val="a"/>
    <w:next w:val="a"/>
    <w:qFormat/>
    <w:rsid w:val="00745238"/>
    <w:pPr>
      <w:keepNext/>
      <w:keepLines/>
      <w:spacing w:line="576" w:lineRule="auto"/>
      <w:outlineLvl w:val="0"/>
    </w:pPr>
    <w:rPr>
      <w:b/>
      <w:kern w:val="44"/>
      <w:sz w:val="44"/>
    </w:rPr>
  </w:style>
  <w:style w:type="paragraph" w:styleId="2">
    <w:name w:val="heading 2"/>
    <w:basedOn w:val="a"/>
    <w:next w:val="a"/>
    <w:uiPriority w:val="9"/>
    <w:unhideWhenUsed/>
    <w:qFormat/>
    <w:rsid w:val="00745238"/>
    <w:pPr>
      <w:keepNext/>
      <w:keepLines/>
      <w:spacing w:line="560" w:lineRule="exact"/>
      <w:ind w:firstLineChars="200" w:firstLine="200"/>
      <w:outlineLvl w:val="1"/>
    </w:pPr>
    <w:rPr>
      <w:rFonts w:asciiTheme="majorHAnsi" w:eastAsia="楷体_GB2312"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45238"/>
    <w:pPr>
      <w:tabs>
        <w:tab w:val="center" w:pos="4153"/>
        <w:tab w:val="right" w:pos="8306"/>
      </w:tabs>
      <w:snapToGrid w:val="0"/>
      <w:jc w:val="left"/>
    </w:pPr>
    <w:rPr>
      <w:sz w:val="18"/>
      <w:szCs w:val="18"/>
    </w:rPr>
  </w:style>
  <w:style w:type="paragraph" w:styleId="a4">
    <w:name w:val="header"/>
    <w:basedOn w:val="a"/>
    <w:link w:val="Char0"/>
    <w:qFormat/>
    <w:rsid w:val="0074523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45238"/>
    <w:pPr>
      <w:spacing w:beforeAutospacing="1" w:afterAutospacing="1"/>
      <w:jc w:val="left"/>
    </w:pPr>
    <w:rPr>
      <w:rFonts w:cs="Times New Roman"/>
      <w:kern w:val="0"/>
      <w:sz w:val="24"/>
    </w:rPr>
  </w:style>
  <w:style w:type="paragraph" w:customStyle="1" w:styleId="10">
    <w:name w:val="标题1"/>
    <w:basedOn w:val="2"/>
    <w:qFormat/>
    <w:rsid w:val="00745238"/>
    <w:rPr>
      <w:rFonts w:eastAsia="黑体"/>
    </w:rPr>
  </w:style>
  <w:style w:type="character" w:customStyle="1" w:styleId="Char0">
    <w:name w:val="页眉 Char"/>
    <w:basedOn w:val="a0"/>
    <w:link w:val="a4"/>
    <w:qFormat/>
    <w:rsid w:val="00745238"/>
    <w:rPr>
      <w:kern w:val="2"/>
      <w:sz w:val="18"/>
      <w:szCs w:val="18"/>
    </w:rPr>
  </w:style>
  <w:style w:type="character" w:customStyle="1" w:styleId="Char">
    <w:name w:val="页脚 Char"/>
    <w:basedOn w:val="a0"/>
    <w:link w:val="a3"/>
    <w:qFormat/>
    <w:rsid w:val="0074523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微软中国</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c:creator>
  <cp:lastModifiedBy>Administrator</cp:lastModifiedBy>
  <cp:revision>8</cp:revision>
  <dcterms:created xsi:type="dcterms:W3CDTF">2023-03-31T19:30:00Z</dcterms:created>
  <dcterms:modified xsi:type="dcterms:W3CDTF">2023-04-18T00:29:00Z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6A9205DFB2614A63BE3D89628444FCE8</vt:lpwstr>
  </property>
</Properties>
</file>