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4D61" w:rsidRPr="00352008" w:rsidRDefault="00A64D61" w:rsidP="00A64D61">
      <w:pPr>
        <w:spacing w:line="640" w:lineRule="exact"/>
        <w:rPr>
          <w:rFonts w:ascii="黑体" w:eastAsia="黑体" w:hAnsi="宋体" w:cs="宋体"/>
          <w:kern w:val="0"/>
          <w:sz w:val="32"/>
          <w:szCs w:val="32"/>
        </w:rPr>
      </w:pPr>
      <w:r>
        <w:rPr>
          <w:rFonts w:eastAsia="黑体" w:hint="eastAsia"/>
          <w:sz w:val="32"/>
          <w:szCs w:val="32"/>
        </w:rPr>
        <w:t>附件</w:t>
      </w:r>
      <w:r>
        <w:rPr>
          <w:rFonts w:eastAsia="黑体" w:hint="eastAsia"/>
          <w:sz w:val="32"/>
          <w:szCs w:val="32"/>
        </w:rPr>
        <w:t>1</w:t>
      </w:r>
      <w:r>
        <w:rPr>
          <w:rFonts w:ascii="宋体" w:hAnsi="宋体" w:cs="宋体"/>
          <w:kern w:val="0"/>
          <w:sz w:val="32"/>
          <w:szCs w:val="32"/>
        </w:rPr>
        <w:tab/>
      </w:r>
    </w:p>
    <w:p w:rsidR="00A64D61" w:rsidRPr="005C0249" w:rsidRDefault="00A64D61" w:rsidP="00A64D61">
      <w:pPr>
        <w:widowControl/>
        <w:ind w:left="93"/>
        <w:jc w:val="center"/>
        <w:rPr>
          <w:rFonts w:ascii="方正小标宋简体" w:eastAsia="方正小标宋简体" w:hAnsi="宋体" w:cs="宋体"/>
          <w:bCs/>
          <w:kern w:val="0"/>
          <w:sz w:val="32"/>
          <w:szCs w:val="32"/>
        </w:rPr>
      </w:pPr>
      <w:r w:rsidRPr="005C0249">
        <w:rPr>
          <w:rFonts w:ascii="方正小标宋简体" w:eastAsia="方正小标宋简体" w:hAnsi="宋体" w:cs="宋体" w:hint="eastAsia"/>
          <w:bCs/>
          <w:kern w:val="0"/>
          <w:sz w:val="32"/>
          <w:szCs w:val="32"/>
        </w:rPr>
        <w:t>部门整体支出绩效评价指标评分表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
        <w:gridCol w:w="429"/>
        <w:gridCol w:w="567"/>
        <w:gridCol w:w="851"/>
        <w:gridCol w:w="567"/>
        <w:gridCol w:w="3118"/>
        <w:gridCol w:w="3472"/>
        <w:gridCol w:w="617"/>
      </w:tblGrid>
      <w:tr w:rsidR="00A64D61" w:rsidTr="00AE09DB">
        <w:trPr>
          <w:trHeight w:val="757"/>
          <w:tblHeader/>
          <w:jc w:val="center"/>
        </w:trPr>
        <w:tc>
          <w:tcPr>
            <w:tcW w:w="411" w:type="dxa"/>
            <w:vAlign w:val="center"/>
          </w:tcPr>
          <w:p w:rsidR="00A64D61" w:rsidRDefault="00A64D61" w:rsidP="00AE09DB">
            <w:pPr>
              <w:widowControl/>
              <w:jc w:val="left"/>
              <w:rPr>
                <w:rFonts w:ascii="宋体" w:hAnsi="宋体" w:cs="宋体"/>
                <w:b/>
                <w:bCs/>
                <w:kern w:val="0"/>
                <w:sz w:val="20"/>
                <w:szCs w:val="20"/>
              </w:rPr>
            </w:pPr>
            <w:r>
              <w:rPr>
                <w:rFonts w:ascii="宋体" w:hAnsi="宋体" w:cs="宋体" w:hint="eastAsia"/>
                <w:b/>
                <w:bCs/>
                <w:kern w:val="0"/>
                <w:sz w:val="20"/>
                <w:szCs w:val="20"/>
              </w:rPr>
              <w:t>一级指标</w:t>
            </w:r>
          </w:p>
        </w:tc>
        <w:tc>
          <w:tcPr>
            <w:tcW w:w="429" w:type="dxa"/>
            <w:vAlign w:val="center"/>
          </w:tcPr>
          <w:p w:rsidR="00A64D61" w:rsidRDefault="00A64D61" w:rsidP="00AE09DB">
            <w:pPr>
              <w:widowControl/>
              <w:jc w:val="center"/>
              <w:rPr>
                <w:rFonts w:ascii="宋体" w:hAnsi="宋体" w:cs="宋体"/>
                <w:b/>
                <w:bCs/>
                <w:kern w:val="0"/>
                <w:sz w:val="20"/>
                <w:szCs w:val="20"/>
              </w:rPr>
            </w:pPr>
            <w:r>
              <w:rPr>
                <w:rFonts w:ascii="宋体" w:hAnsi="宋体" w:cs="宋体" w:hint="eastAsia"/>
                <w:b/>
                <w:bCs/>
                <w:kern w:val="0"/>
                <w:sz w:val="20"/>
                <w:szCs w:val="20"/>
              </w:rPr>
              <w:t>二级指标</w:t>
            </w:r>
          </w:p>
        </w:tc>
        <w:tc>
          <w:tcPr>
            <w:tcW w:w="567" w:type="dxa"/>
            <w:vAlign w:val="center"/>
          </w:tcPr>
          <w:p w:rsidR="00A64D61" w:rsidRDefault="00A64D61" w:rsidP="00AE09DB">
            <w:pPr>
              <w:widowControl/>
              <w:jc w:val="center"/>
              <w:rPr>
                <w:rFonts w:ascii="宋体" w:hAnsi="宋体" w:cs="宋体"/>
                <w:b/>
                <w:bCs/>
                <w:kern w:val="0"/>
                <w:sz w:val="20"/>
                <w:szCs w:val="20"/>
              </w:rPr>
            </w:pPr>
            <w:r>
              <w:rPr>
                <w:rFonts w:ascii="宋体" w:hAnsi="宋体" w:cs="宋体" w:hint="eastAsia"/>
                <w:b/>
                <w:bCs/>
                <w:kern w:val="0"/>
                <w:sz w:val="20"/>
                <w:szCs w:val="20"/>
              </w:rPr>
              <w:t>分值</w:t>
            </w:r>
          </w:p>
        </w:tc>
        <w:tc>
          <w:tcPr>
            <w:tcW w:w="851" w:type="dxa"/>
            <w:vAlign w:val="center"/>
          </w:tcPr>
          <w:p w:rsidR="00A64D61" w:rsidRDefault="00A64D61" w:rsidP="00AE09DB">
            <w:pPr>
              <w:widowControl/>
              <w:jc w:val="center"/>
              <w:rPr>
                <w:rFonts w:ascii="宋体" w:hAnsi="宋体" w:cs="宋体"/>
                <w:b/>
                <w:bCs/>
                <w:kern w:val="0"/>
                <w:sz w:val="20"/>
                <w:szCs w:val="20"/>
              </w:rPr>
            </w:pPr>
            <w:r>
              <w:rPr>
                <w:rFonts w:ascii="宋体" w:hAnsi="宋体" w:cs="宋体" w:hint="eastAsia"/>
                <w:b/>
                <w:bCs/>
                <w:kern w:val="0"/>
                <w:sz w:val="20"/>
                <w:szCs w:val="20"/>
              </w:rPr>
              <w:t>三级   指标</w:t>
            </w:r>
          </w:p>
        </w:tc>
        <w:tc>
          <w:tcPr>
            <w:tcW w:w="567" w:type="dxa"/>
            <w:vAlign w:val="center"/>
          </w:tcPr>
          <w:p w:rsidR="00A64D61" w:rsidRDefault="00A64D61" w:rsidP="00AE09DB">
            <w:pPr>
              <w:widowControl/>
              <w:jc w:val="center"/>
              <w:rPr>
                <w:rFonts w:ascii="宋体" w:hAnsi="宋体" w:cs="宋体"/>
                <w:b/>
                <w:bCs/>
                <w:kern w:val="0"/>
                <w:sz w:val="20"/>
                <w:szCs w:val="20"/>
              </w:rPr>
            </w:pPr>
            <w:r>
              <w:rPr>
                <w:rFonts w:ascii="宋体" w:hAnsi="宋体" w:cs="宋体" w:hint="eastAsia"/>
                <w:b/>
                <w:bCs/>
                <w:kern w:val="0"/>
                <w:sz w:val="20"/>
                <w:szCs w:val="20"/>
              </w:rPr>
              <w:t>分值</w:t>
            </w:r>
          </w:p>
        </w:tc>
        <w:tc>
          <w:tcPr>
            <w:tcW w:w="3118" w:type="dxa"/>
            <w:vAlign w:val="center"/>
          </w:tcPr>
          <w:p w:rsidR="00A64D61" w:rsidRDefault="00A64D61" w:rsidP="00AE09DB">
            <w:pPr>
              <w:widowControl/>
              <w:jc w:val="center"/>
              <w:rPr>
                <w:rFonts w:ascii="宋体" w:hAnsi="宋体" w:cs="宋体"/>
                <w:b/>
                <w:bCs/>
                <w:kern w:val="0"/>
                <w:sz w:val="20"/>
                <w:szCs w:val="20"/>
              </w:rPr>
            </w:pPr>
            <w:r>
              <w:rPr>
                <w:rFonts w:ascii="宋体" w:hAnsi="宋体" w:cs="宋体" w:hint="eastAsia"/>
                <w:b/>
                <w:bCs/>
                <w:kern w:val="0"/>
                <w:sz w:val="20"/>
                <w:szCs w:val="20"/>
              </w:rPr>
              <w:t>评价标准</w:t>
            </w:r>
          </w:p>
        </w:tc>
        <w:tc>
          <w:tcPr>
            <w:tcW w:w="3472" w:type="dxa"/>
            <w:vAlign w:val="center"/>
          </w:tcPr>
          <w:p w:rsidR="00A64D61" w:rsidRDefault="00A64D61" w:rsidP="00AE09DB">
            <w:pPr>
              <w:widowControl/>
              <w:jc w:val="center"/>
              <w:rPr>
                <w:rFonts w:ascii="宋体" w:hAnsi="宋体" w:cs="宋体"/>
                <w:b/>
                <w:bCs/>
                <w:kern w:val="0"/>
                <w:sz w:val="20"/>
                <w:szCs w:val="20"/>
              </w:rPr>
            </w:pPr>
            <w:r>
              <w:rPr>
                <w:rFonts w:ascii="宋体" w:hAnsi="宋体" w:cs="宋体" w:hint="eastAsia"/>
                <w:b/>
                <w:bCs/>
                <w:kern w:val="0"/>
                <w:sz w:val="20"/>
                <w:szCs w:val="20"/>
              </w:rPr>
              <w:t>备注</w:t>
            </w:r>
          </w:p>
        </w:tc>
        <w:tc>
          <w:tcPr>
            <w:tcW w:w="617" w:type="dxa"/>
            <w:vAlign w:val="center"/>
          </w:tcPr>
          <w:p w:rsidR="00A64D61" w:rsidRDefault="00A64D61" w:rsidP="00AE09DB">
            <w:pPr>
              <w:widowControl/>
              <w:jc w:val="center"/>
              <w:rPr>
                <w:rFonts w:ascii="宋体" w:hAnsi="宋体" w:cs="宋体"/>
                <w:b/>
                <w:bCs/>
                <w:kern w:val="0"/>
                <w:sz w:val="20"/>
                <w:szCs w:val="20"/>
              </w:rPr>
            </w:pPr>
            <w:r>
              <w:rPr>
                <w:rFonts w:ascii="宋体" w:hAnsi="宋体" w:cs="宋体" w:hint="eastAsia"/>
                <w:b/>
                <w:bCs/>
                <w:kern w:val="0"/>
                <w:sz w:val="20"/>
                <w:szCs w:val="20"/>
              </w:rPr>
              <w:t>得分</w:t>
            </w:r>
          </w:p>
        </w:tc>
      </w:tr>
      <w:tr w:rsidR="00A64D61" w:rsidRPr="00742B8F" w:rsidTr="00AE09DB">
        <w:trPr>
          <w:trHeight w:val="2182"/>
          <w:jc w:val="center"/>
        </w:trPr>
        <w:tc>
          <w:tcPr>
            <w:tcW w:w="411" w:type="dxa"/>
            <w:vMerge w:val="restart"/>
            <w:textDirection w:val="tbRlV"/>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投    入</w:t>
            </w:r>
          </w:p>
        </w:tc>
        <w:tc>
          <w:tcPr>
            <w:tcW w:w="429" w:type="dxa"/>
            <w:vMerge w:val="restart"/>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预算配置</w:t>
            </w:r>
          </w:p>
        </w:tc>
        <w:tc>
          <w:tcPr>
            <w:tcW w:w="567" w:type="dxa"/>
            <w:vMerge w:val="restart"/>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18</w:t>
            </w:r>
          </w:p>
        </w:tc>
        <w:tc>
          <w:tcPr>
            <w:tcW w:w="851"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“三公经费”</w:t>
            </w:r>
            <w:r>
              <w:rPr>
                <w:rFonts w:ascii="仿宋_GB2312" w:eastAsia="仿宋_GB2312" w:hAnsi="宋体" w:cs="宋体" w:hint="eastAsia"/>
                <w:kern w:val="0"/>
                <w:sz w:val="20"/>
                <w:szCs w:val="20"/>
              </w:rPr>
              <w:br/>
              <w:t>变动率</w:t>
            </w:r>
          </w:p>
        </w:tc>
        <w:tc>
          <w:tcPr>
            <w:tcW w:w="567"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118" w:type="dxa"/>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“三公经费”变动率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0,计3分；“三公经费”＞0，每超过一个百分点扣0.3分，扣完为止。</w:t>
            </w:r>
          </w:p>
        </w:tc>
        <w:tc>
          <w:tcPr>
            <w:tcW w:w="3472" w:type="dxa"/>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“三公经费”变动率=[（本年度“三公经费”总额-上年度“三公经费”总额）/上年度“三公经费”总额]×100%。</w:t>
            </w:r>
            <w:r>
              <w:rPr>
                <w:rFonts w:ascii="仿宋_GB2312" w:eastAsia="仿宋_GB2312" w:hAnsi="宋体" w:cs="宋体" w:hint="eastAsia"/>
                <w:kern w:val="0"/>
                <w:sz w:val="20"/>
                <w:szCs w:val="20"/>
              </w:rPr>
              <w:br/>
              <w:t>“三公经费”：指政府部门人员因公出国（境）经费、公务车购置及运行费、公务招待费产生的消费。</w:t>
            </w:r>
          </w:p>
        </w:tc>
        <w:tc>
          <w:tcPr>
            <w:tcW w:w="617" w:type="dxa"/>
            <w:shd w:val="clear" w:color="auto" w:fill="auto"/>
            <w:vAlign w:val="center"/>
          </w:tcPr>
          <w:p w:rsidR="00A64D61" w:rsidRPr="00742B8F" w:rsidRDefault="00A64D61" w:rsidP="00AE09DB">
            <w:pPr>
              <w:widowControl/>
              <w:jc w:val="center"/>
              <w:rPr>
                <w:rFonts w:ascii="宋体" w:hAnsi="宋体" w:cs="宋体"/>
                <w:color w:val="000000" w:themeColor="text1"/>
                <w:kern w:val="0"/>
                <w:sz w:val="24"/>
              </w:rPr>
            </w:pPr>
            <w:r w:rsidRPr="00742B8F">
              <w:rPr>
                <w:rFonts w:ascii="宋体" w:hAnsi="宋体" w:cs="宋体" w:hint="eastAsia"/>
                <w:color w:val="000000" w:themeColor="text1"/>
                <w:kern w:val="0"/>
                <w:sz w:val="24"/>
              </w:rPr>
              <w:t>3</w:t>
            </w:r>
          </w:p>
        </w:tc>
      </w:tr>
      <w:tr w:rsidR="00A64D61" w:rsidRPr="00742B8F" w:rsidTr="00AE09DB">
        <w:trPr>
          <w:trHeight w:val="1830"/>
          <w:jc w:val="center"/>
        </w:trPr>
        <w:tc>
          <w:tcPr>
            <w:tcW w:w="411" w:type="dxa"/>
            <w:vMerge/>
          </w:tcPr>
          <w:p w:rsidR="00A64D61" w:rsidRDefault="00A64D61" w:rsidP="00AE09DB">
            <w:pPr>
              <w:widowControl/>
              <w:jc w:val="left"/>
              <w:rPr>
                <w:rFonts w:ascii="仿宋_GB2312" w:eastAsia="仿宋_GB2312" w:hAnsi="宋体" w:cs="宋体"/>
                <w:kern w:val="0"/>
                <w:sz w:val="20"/>
                <w:szCs w:val="20"/>
              </w:rPr>
            </w:pPr>
          </w:p>
        </w:tc>
        <w:tc>
          <w:tcPr>
            <w:tcW w:w="429" w:type="dxa"/>
            <w:vMerge/>
          </w:tcPr>
          <w:p w:rsidR="00A64D61" w:rsidRDefault="00A64D61" w:rsidP="00AE09DB">
            <w:pPr>
              <w:widowControl/>
              <w:jc w:val="left"/>
              <w:rPr>
                <w:rFonts w:ascii="仿宋_GB2312" w:eastAsia="仿宋_GB2312" w:hAnsi="宋体" w:cs="宋体"/>
                <w:kern w:val="0"/>
                <w:sz w:val="20"/>
                <w:szCs w:val="20"/>
              </w:rPr>
            </w:pPr>
          </w:p>
        </w:tc>
        <w:tc>
          <w:tcPr>
            <w:tcW w:w="567" w:type="dxa"/>
            <w:vMerge/>
          </w:tcPr>
          <w:p w:rsidR="00A64D61" w:rsidRDefault="00A64D61" w:rsidP="00AE09DB">
            <w:pPr>
              <w:widowControl/>
              <w:jc w:val="left"/>
              <w:rPr>
                <w:rFonts w:ascii="仿宋_GB2312" w:eastAsia="仿宋_GB2312" w:hAnsi="宋体" w:cs="宋体"/>
                <w:kern w:val="0"/>
                <w:sz w:val="20"/>
                <w:szCs w:val="20"/>
              </w:rPr>
            </w:pPr>
          </w:p>
        </w:tc>
        <w:tc>
          <w:tcPr>
            <w:tcW w:w="851"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“三公经费”   管理</w:t>
            </w:r>
          </w:p>
        </w:tc>
        <w:tc>
          <w:tcPr>
            <w:tcW w:w="567"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118" w:type="dxa"/>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①招待费用明确招待标准和招待人数,1分;②车辆维护、燃油使用政府定点，1分。③</w:t>
            </w:r>
            <w:r>
              <w:rPr>
                <w:rFonts w:ascii="仿宋_GB2312" w:eastAsia="仿宋_GB2312" w:hAnsi="仿宋" w:cs="仿宋" w:hint="eastAsia"/>
                <w:kern w:val="0"/>
                <w:sz w:val="20"/>
                <w:szCs w:val="20"/>
              </w:rPr>
              <w:t>制定“三公经费”管理办法，1分，每少一项扣1分，扣完为止。</w:t>
            </w:r>
          </w:p>
        </w:tc>
        <w:tc>
          <w:tcPr>
            <w:tcW w:w="3472" w:type="dxa"/>
          </w:tcPr>
          <w:p w:rsidR="00A64D61" w:rsidRDefault="00A64D61" w:rsidP="00AE09DB">
            <w:pPr>
              <w:widowControl/>
              <w:jc w:val="left"/>
              <w:rPr>
                <w:rFonts w:ascii="仿宋_GB2312" w:eastAsia="仿宋_GB2312" w:hAnsi="宋体" w:cs="宋体"/>
                <w:kern w:val="0"/>
                <w:sz w:val="20"/>
                <w:szCs w:val="20"/>
              </w:rPr>
            </w:pPr>
          </w:p>
        </w:tc>
        <w:tc>
          <w:tcPr>
            <w:tcW w:w="617" w:type="dxa"/>
            <w:shd w:val="clear" w:color="auto" w:fill="auto"/>
            <w:vAlign w:val="center"/>
          </w:tcPr>
          <w:p w:rsidR="00A64D61" w:rsidRPr="00742B8F" w:rsidRDefault="00A64D61" w:rsidP="00AE09DB">
            <w:pPr>
              <w:widowControl/>
              <w:jc w:val="center"/>
              <w:rPr>
                <w:rFonts w:ascii="宋体" w:hAnsi="宋体" w:cs="宋体"/>
                <w:color w:val="000000" w:themeColor="text1"/>
                <w:kern w:val="0"/>
                <w:sz w:val="24"/>
              </w:rPr>
            </w:pPr>
            <w:r w:rsidRPr="00742B8F">
              <w:rPr>
                <w:rFonts w:ascii="宋体" w:hAnsi="宋体" w:cs="宋体" w:hint="eastAsia"/>
                <w:color w:val="000000" w:themeColor="text1"/>
                <w:kern w:val="0"/>
                <w:sz w:val="24"/>
              </w:rPr>
              <w:t>3</w:t>
            </w:r>
          </w:p>
        </w:tc>
      </w:tr>
      <w:tr w:rsidR="00A64D61" w:rsidRPr="00742B8F" w:rsidTr="00AE09DB">
        <w:trPr>
          <w:trHeight w:val="1545"/>
          <w:jc w:val="center"/>
        </w:trPr>
        <w:tc>
          <w:tcPr>
            <w:tcW w:w="411" w:type="dxa"/>
            <w:vMerge/>
          </w:tcPr>
          <w:p w:rsidR="00A64D61" w:rsidRDefault="00A64D61" w:rsidP="00AE09DB">
            <w:pPr>
              <w:widowControl/>
              <w:jc w:val="left"/>
              <w:rPr>
                <w:rFonts w:ascii="仿宋_GB2312" w:eastAsia="仿宋_GB2312" w:hAnsi="宋体" w:cs="宋体"/>
                <w:kern w:val="0"/>
                <w:sz w:val="20"/>
                <w:szCs w:val="20"/>
              </w:rPr>
            </w:pPr>
          </w:p>
        </w:tc>
        <w:tc>
          <w:tcPr>
            <w:tcW w:w="429" w:type="dxa"/>
            <w:vMerge/>
          </w:tcPr>
          <w:p w:rsidR="00A64D61" w:rsidRDefault="00A64D61" w:rsidP="00AE09DB">
            <w:pPr>
              <w:widowControl/>
              <w:jc w:val="left"/>
              <w:rPr>
                <w:rFonts w:ascii="仿宋_GB2312" w:eastAsia="仿宋_GB2312" w:hAnsi="宋体" w:cs="宋体"/>
                <w:kern w:val="0"/>
                <w:sz w:val="20"/>
                <w:szCs w:val="20"/>
              </w:rPr>
            </w:pPr>
          </w:p>
        </w:tc>
        <w:tc>
          <w:tcPr>
            <w:tcW w:w="567" w:type="dxa"/>
            <w:vMerge/>
          </w:tcPr>
          <w:p w:rsidR="00A64D61" w:rsidRDefault="00A64D61" w:rsidP="00AE09DB">
            <w:pPr>
              <w:widowControl/>
              <w:jc w:val="left"/>
              <w:rPr>
                <w:rFonts w:ascii="仿宋_GB2312" w:eastAsia="仿宋_GB2312" w:hAnsi="宋体" w:cs="宋体"/>
                <w:kern w:val="0"/>
                <w:sz w:val="20"/>
                <w:szCs w:val="20"/>
              </w:rPr>
            </w:pPr>
          </w:p>
        </w:tc>
        <w:tc>
          <w:tcPr>
            <w:tcW w:w="851"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公务</w:t>
            </w:r>
          </w:p>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招待费变动率</w:t>
            </w:r>
          </w:p>
        </w:tc>
        <w:tc>
          <w:tcPr>
            <w:tcW w:w="567"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“公务招待费”变动率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0,计2分；“公务招待费变动率”＞0，每超过一个百分点扣0.2分，扣完为止。</w:t>
            </w:r>
          </w:p>
        </w:tc>
        <w:tc>
          <w:tcPr>
            <w:tcW w:w="3472" w:type="dxa"/>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公务招待费变动率=[（本年度“公务招待费”总额-上年度“公务招待费”总额）/上年度“公务招待费”总额]×100%。</w:t>
            </w:r>
          </w:p>
        </w:tc>
        <w:tc>
          <w:tcPr>
            <w:tcW w:w="617" w:type="dxa"/>
            <w:shd w:val="clear" w:color="auto" w:fill="auto"/>
            <w:vAlign w:val="center"/>
          </w:tcPr>
          <w:p w:rsidR="00A64D61" w:rsidRPr="00742B8F" w:rsidRDefault="00A64D61" w:rsidP="00AE09DB">
            <w:pPr>
              <w:widowControl/>
              <w:jc w:val="center"/>
              <w:rPr>
                <w:rFonts w:ascii="宋体" w:hAnsi="宋体" w:cs="宋体"/>
                <w:color w:val="000000" w:themeColor="text1"/>
                <w:kern w:val="0"/>
                <w:sz w:val="24"/>
              </w:rPr>
            </w:pPr>
            <w:r w:rsidRPr="00742B8F">
              <w:rPr>
                <w:rFonts w:ascii="宋体" w:hAnsi="宋体" w:cs="宋体" w:hint="eastAsia"/>
                <w:color w:val="000000" w:themeColor="text1"/>
                <w:kern w:val="0"/>
                <w:sz w:val="24"/>
              </w:rPr>
              <w:t>2</w:t>
            </w:r>
          </w:p>
        </w:tc>
      </w:tr>
      <w:tr w:rsidR="00A64D61" w:rsidRPr="00742B8F" w:rsidTr="00AE09DB">
        <w:trPr>
          <w:trHeight w:val="1850"/>
          <w:jc w:val="center"/>
        </w:trPr>
        <w:tc>
          <w:tcPr>
            <w:tcW w:w="411" w:type="dxa"/>
            <w:vMerge/>
          </w:tcPr>
          <w:p w:rsidR="00A64D61" w:rsidRDefault="00A64D61" w:rsidP="00AE09DB">
            <w:pPr>
              <w:widowControl/>
              <w:jc w:val="left"/>
              <w:rPr>
                <w:rFonts w:ascii="仿宋_GB2312" w:eastAsia="仿宋_GB2312" w:hAnsi="宋体" w:cs="宋体"/>
                <w:kern w:val="0"/>
                <w:sz w:val="20"/>
                <w:szCs w:val="20"/>
              </w:rPr>
            </w:pPr>
          </w:p>
        </w:tc>
        <w:tc>
          <w:tcPr>
            <w:tcW w:w="429" w:type="dxa"/>
            <w:vMerge/>
          </w:tcPr>
          <w:p w:rsidR="00A64D61" w:rsidRDefault="00A64D61" w:rsidP="00AE09DB">
            <w:pPr>
              <w:widowControl/>
              <w:jc w:val="left"/>
              <w:rPr>
                <w:rFonts w:ascii="仿宋_GB2312" w:eastAsia="仿宋_GB2312" w:hAnsi="宋体" w:cs="宋体"/>
                <w:kern w:val="0"/>
                <w:sz w:val="20"/>
                <w:szCs w:val="20"/>
              </w:rPr>
            </w:pPr>
          </w:p>
        </w:tc>
        <w:tc>
          <w:tcPr>
            <w:tcW w:w="567" w:type="dxa"/>
            <w:vMerge/>
          </w:tcPr>
          <w:p w:rsidR="00A64D61" w:rsidRDefault="00A64D61" w:rsidP="00AE09DB">
            <w:pPr>
              <w:widowControl/>
              <w:jc w:val="left"/>
              <w:rPr>
                <w:rFonts w:ascii="仿宋_GB2312" w:eastAsia="仿宋_GB2312" w:hAnsi="宋体" w:cs="宋体"/>
                <w:kern w:val="0"/>
                <w:sz w:val="20"/>
                <w:szCs w:val="20"/>
              </w:rPr>
            </w:pPr>
          </w:p>
        </w:tc>
        <w:tc>
          <w:tcPr>
            <w:tcW w:w="851"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公务用车购置</w:t>
            </w:r>
          </w:p>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运行费</w:t>
            </w:r>
          </w:p>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变动率</w:t>
            </w:r>
          </w:p>
        </w:tc>
        <w:tc>
          <w:tcPr>
            <w:tcW w:w="567"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2</w:t>
            </w:r>
          </w:p>
        </w:tc>
        <w:tc>
          <w:tcPr>
            <w:tcW w:w="3118" w:type="dxa"/>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“公务用车购置运行费”变动率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0,计2分；“公务用车购置运行费变动率”＞0，每超过一个百分点</w:t>
            </w:r>
            <w:r>
              <w:rPr>
                <w:rFonts w:ascii="仿宋_GB2312" w:eastAsia="仿宋_GB2312" w:hAnsi="宋体" w:cs="宋体" w:hint="eastAsia"/>
                <w:kern w:val="0"/>
                <w:sz w:val="20"/>
                <w:szCs w:val="20"/>
              </w:rPr>
              <w:lastRenderedPageBreak/>
              <w:t>扣0.2分，扣完为止。</w:t>
            </w:r>
          </w:p>
        </w:tc>
        <w:tc>
          <w:tcPr>
            <w:tcW w:w="3472" w:type="dxa"/>
          </w:tcPr>
          <w:p w:rsidR="00A64D61" w:rsidRDefault="00A64D61" w:rsidP="00AE09D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公务用车购置运行费变动率=[（本年度“公务用车购置运行费”总额-上年度“公务用车购置运行费”总额）/上</w:t>
            </w:r>
            <w:r>
              <w:rPr>
                <w:rFonts w:ascii="仿宋_GB2312" w:eastAsia="仿宋_GB2312" w:hAnsi="宋体" w:cs="宋体" w:hint="eastAsia"/>
                <w:kern w:val="0"/>
                <w:sz w:val="20"/>
                <w:szCs w:val="20"/>
              </w:rPr>
              <w:lastRenderedPageBreak/>
              <w:t>年度“公务用车购置运行费”总额]×100%。</w:t>
            </w:r>
          </w:p>
        </w:tc>
        <w:tc>
          <w:tcPr>
            <w:tcW w:w="617" w:type="dxa"/>
            <w:shd w:val="clear" w:color="auto" w:fill="auto"/>
            <w:vAlign w:val="center"/>
          </w:tcPr>
          <w:p w:rsidR="00A64D61" w:rsidRPr="00742B8F" w:rsidRDefault="00A64D61" w:rsidP="00AE09DB">
            <w:pPr>
              <w:widowControl/>
              <w:jc w:val="center"/>
              <w:rPr>
                <w:rFonts w:ascii="宋体" w:hAnsi="宋体" w:cs="宋体"/>
                <w:color w:val="000000" w:themeColor="text1"/>
                <w:kern w:val="0"/>
                <w:sz w:val="24"/>
              </w:rPr>
            </w:pPr>
            <w:r w:rsidRPr="00742B8F">
              <w:rPr>
                <w:rFonts w:ascii="宋体" w:hAnsi="宋体" w:cs="宋体" w:hint="eastAsia"/>
                <w:color w:val="000000" w:themeColor="text1"/>
                <w:kern w:val="0"/>
                <w:sz w:val="24"/>
              </w:rPr>
              <w:lastRenderedPageBreak/>
              <w:t>2</w:t>
            </w:r>
          </w:p>
        </w:tc>
      </w:tr>
      <w:tr w:rsidR="00A64D61" w:rsidRPr="00742B8F" w:rsidTr="00AE09DB">
        <w:trPr>
          <w:trHeight w:val="1551"/>
          <w:jc w:val="center"/>
        </w:trPr>
        <w:tc>
          <w:tcPr>
            <w:tcW w:w="411" w:type="dxa"/>
            <w:vMerge/>
          </w:tcPr>
          <w:p w:rsidR="00A64D61" w:rsidRDefault="00A64D61" w:rsidP="00AE09DB">
            <w:pPr>
              <w:widowControl/>
              <w:jc w:val="left"/>
              <w:rPr>
                <w:rFonts w:ascii="仿宋_GB2312" w:eastAsia="仿宋_GB2312" w:hAnsi="宋体" w:cs="宋体"/>
                <w:kern w:val="0"/>
                <w:sz w:val="20"/>
                <w:szCs w:val="20"/>
              </w:rPr>
            </w:pPr>
          </w:p>
        </w:tc>
        <w:tc>
          <w:tcPr>
            <w:tcW w:w="429" w:type="dxa"/>
            <w:vMerge/>
          </w:tcPr>
          <w:p w:rsidR="00A64D61" w:rsidRDefault="00A64D61" w:rsidP="00AE09DB">
            <w:pPr>
              <w:widowControl/>
              <w:jc w:val="left"/>
              <w:rPr>
                <w:rFonts w:ascii="仿宋_GB2312" w:eastAsia="仿宋_GB2312" w:hAnsi="宋体" w:cs="宋体"/>
                <w:kern w:val="0"/>
                <w:sz w:val="20"/>
                <w:szCs w:val="20"/>
              </w:rPr>
            </w:pPr>
          </w:p>
        </w:tc>
        <w:tc>
          <w:tcPr>
            <w:tcW w:w="567" w:type="dxa"/>
            <w:vMerge/>
          </w:tcPr>
          <w:p w:rsidR="00A64D61" w:rsidRDefault="00A64D61" w:rsidP="00AE09DB">
            <w:pPr>
              <w:widowControl/>
              <w:jc w:val="left"/>
              <w:rPr>
                <w:rFonts w:ascii="仿宋_GB2312" w:eastAsia="仿宋_GB2312" w:hAnsi="宋体" w:cs="宋体"/>
                <w:kern w:val="0"/>
                <w:sz w:val="20"/>
                <w:szCs w:val="20"/>
              </w:rPr>
            </w:pPr>
          </w:p>
        </w:tc>
        <w:tc>
          <w:tcPr>
            <w:tcW w:w="851"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商品 和服务支出 变动率</w:t>
            </w:r>
          </w:p>
        </w:tc>
        <w:tc>
          <w:tcPr>
            <w:tcW w:w="567"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“商品和服务支出”变动率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0,计2分；“商品和服务支出”变动率＞0，每超过一个百分点扣0.2分，扣完为止。</w:t>
            </w:r>
          </w:p>
        </w:tc>
        <w:tc>
          <w:tcPr>
            <w:tcW w:w="3472" w:type="dxa"/>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“商品和服务支出”变动率=[（本年度“商品和服务支出”总额-上年度“商品和服务支出”总额）/上年度“商品和服务支出”总额]×100%。</w:t>
            </w:r>
          </w:p>
        </w:tc>
        <w:tc>
          <w:tcPr>
            <w:tcW w:w="617" w:type="dxa"/>
            <w:shd w:val="clear" w:color="auto" w:fill="auto"/>
            <w:vAlign w:val="center"/>
          </w:tcPr>
          <w:p w:rsidR="00A64D61" w:rsidRPr="00742B8F" w:rsidRDefault="00A64D61" w:rsidP="00AE09DB">
            <w:pPr>
              <w:widowControl/>
              <w:jc w:val="center"/>
              <w:rPr>
                <w:rFonts w:ascii="宋体" w:hAnsi="宋体" w:cs="宋体"/>
                <w:color w:val="000000" w:themeColor="text1"/>
                <w:kern w:val="0"/>
                <w:sz w:val="24"/>
              </w:rPr>
            </w:pPr>
            <w:r w:rsidRPr="00742B8F">
              <w:rPr>
                <w:rFonts w:ascii="宋体" w:hAnsi="宋体" w:cs="宋体" w:hint="eastAsia"/>
                <w:color w:val="000000" w:themeColor="text1"/>
                <w:kern w:val="0"/>
                <w:sz w:val="24"/>
              </w:rPr>
              <w:t>2</w:t>
            </w:r>
          </w:p>
        </w:tc>
      </w:tr>
      <w:tr w:rsidR="00A64D61" w:rsidRPr="00742B8F" w:rsidTr="00AE09DB">
        <w:trPr>
          <w:trHeight w:val="2240"/>
          <w:jc w:val="center"/>
        </w:trPr>
        <w:tc>
          <w:tcPr>
            <w:tcW w:w="411" w:type="dxa"/>
            <w:vMerge/>
          </w:tcPr>
          <w:p w:rsidR="00A64D61" w:rsidRDefault="00A64D61" w:rsidP="00AE09DB">
            <w:pPr>
              <w:widowControl/>
              <w:jc w:val="left"/>
              <w:rPr>
                <w:rFonts w:ascii="仿宋_GB2312" w:eastAsia="仿宋_GB2312" w:hAnsi="宋体" w:cs="宋体"/>
                <w:kern w:val="0"/>
                <w:sz w:val="20"/>
                <w:szCs w:val="20"/>
              </w:rPr>
            </w:pPr>
          </w:p>
        </w:tc>
        <w:tc>
          <w:tcPr>
            <w:tcW w:w="429" w:type="dxa"/>
            <w:vMerge/>
          </w:tcPr>
          <w:p w:rsidR="00A64D61" w:rsidRDefault="00A64D61" w:rsidP="00AE09DB">
            <w:pPr>
              <w:widowControl/>
              <w:jc w:val="left"/>
              <w:rPr>
                <w:rFonts w:ascii="仿宋_GB2312" w:eastAsia="仿宋_GB2312" w:hAnsi="宋体" w:cs="宋体"/>
                <w:kern w:val="0"/>
                <w:sz w:val="20"/>
                <w:szCs w:val="20"/>
              </w:rPr>
            </w:pPr>
          </w:p>
        </w:tc>
        <w:tc>
          <w:tcPr>
            <w:tcW w:w="567" w:type="dxa"/>
            <w:vMerge/>
          </w:tcPr>
          <w:p w:rsidR="00A64D61" w:rsidRDefault="00A64D61" w:rsidP="00AE09DB">
            <w:pPr>
              <w:widowControl/>
              <w:jc w:val="left"/>
              <w:rPr>
                <w:rFonts w:ascii="仿宋_GB2312" w:eastAsia="仿宋_GB2312" w:hAnsi="宋体" w:cs="宋体"/>
                <w:kern w:val="0"/>
                <w:sz w:val="20"/>
                <w:szCs w:val="20"/>
              </w:rPr>
            </w:pPr>
          </w:p>
        </w:tc>
        <w:tc>
          <w:tcPr>
            <w:tcW w:w="851"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重点  支出  安排率</w:t>
            </w:r>
          </w:p>
        </w:tc>
        <w:tc>
          <w:tcPr>
            <w:tcW w:w="567"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重点支出安排率≥90%，计2分；80%（含）-90%，计1分；70%（含）-80%，计0.5分；低于70%不得分。</w:t>
            </w:r>
          </w:p>
        </w:tc>
        <w:tc>
          <w:tcPr>
            <w:tcW w:w="3472" w:type="dxa"/>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重点支出安排率=（重点项目支出/项目总支出）×100%</w:t>
            </w:r>
            <w:r>
              <w:rPr>
                <w:rFonts w:ascii="仿宋_GB2312" w:eastAsia="仿宋_GB2312" w:hAnsi="宋体" w:cs="宋体" w:hint="eastAsia"/>
                <w:kern w:val="0"/>
                <w:sz w:val="20"/>
                <w:szCs w:val="20"/>
              </w:rPr>
              <w:br/>
              <w:t>重点项目支出：市政府确定的为民办实事和部门重点工程与重点工作支出。项目总支出：部门（单位）年度预算安排的项目支出总额。</w:t>
            </w:r>
          </w:p>
        </w:tc>
        <w:tc>
          <w:tcPr>
            <w:tcW w:w="617" w:type="dxa"/>
            <w:shd w:val="clear" w:color="auto" w:fill="auto"/>
            <w:vAlign w:val="center"/>
          </w:tcPr>
          <w:p w:rsidR="00A64D61" w:rsidRPr="00742B8F" w:rsidRDefault="00A64D61" w:rsidP="00AE09DB">
            <w:pPr>
              <w:widowControl/>
              <w:jc w:val="center"/>
              <w:rPr>
                <w:rFonts w:ascii="宋体" w:hAnsi="宋体" w:cs="宋体"/>
                <w:color w:val="000000" w:themeColor="text1"/>
                <w:kern w:val="0"/>
                <w:sz w:val="24"/>
              </w:rPr>
            </w:pPr>
            <w:r w:rsidRPr="00742B8F">
              <w:rPr>
                <w:rFonts w:ascii="宋体" w:hAnsi="宋体" w:cs="宋体" w:hint="eastAsia"/>
                <w:color w:val="000000" w:themeColor="text1"/>
                <w:kern w:val="0"/>
                <w:sz w:val="24"/>
              </w:rPr>
              <w:t>2</w:t>
            </w:r>
          </w:p>
        </w:tc>
      </w:tr>
      <w:tr w:rsidR="00A64D61" w:rsidRPr="00742B8F" w:rsidTr="00AE09DB">
        <w:trPr>
          <w:trHeight w:hRule="exact" w:val="1729"/>
          <w:jc w:val="center"/>
        </w:trPr>
        <w:tc>
          <w:tcPr>
            <w:tcW w:w="411" w:type="dxa"/>
            <w:vMerge/>
          </w:tcPr>
          <w:p w:rsidR="00A64D61" w:rsidRDefault="00A64D61" w:rsidP="00AE09DB">
            <w:pPr>
              <w:widowControl/>
              <w:jc w:val="left"/>
              <w:rPr>
                <w:rFonts w:ascii="仿宋_GB2312" w:eastAsia="仿宋_GB2312" w:hAnsi="宋体" w:cs="宋体"/>
                <w:kern w:val="0"/>
                <w:sz w:val="20"/>
                <w:szCs w:val="20"/>
              </w:rPr>
            </w:pPr>
          </w:p>
        </w:tc>
        <w:tc>
          <w:tcPr>
            <w:tcW w:w="429" w:type="dxa"/>
            <w:vMerge/>
          </w:tcPr>
          <w:p w:rsidR="00A64D61" w:rsidRDefault="00A64D61" w:rsidP="00AE09DB">
            <w:pPr>
              <w:widowControl/>
              <w:jc w:val="left"/>
              <w:rPr>
                <w:rFonts w:ascii="仿宋_GB2312" w:eastAsia="仿宋_GB2312" w:hAnsi="宋体" w:cs="宋体"/>
                <w:kern w:val="0"/>
                <w:sz w:val="20"/>
                <w:szCs w:val="20"/>
              </w:rPr>
            </w:pPr>
          </w:p>
        </w:tc>
        <w:tc>
          <w:tcPr>
            <w:tcW w:w="567" w:type="dxa"/>
            <w:vMerge/>
          </w:tcPr>
          <w:p w:rsidR="00A64D61" w:rsidRDefault="00A64D61" w:rsidP="00AE09DB">
            <w:pPr>
              <w:widowControl/>
              <w:jc w:val="left"/>
              <w:rPr>
                <w:rFonts w:ascii="仿宋_GB2312" w:eastAsia="仿宋_GB2312" w:hAnsi="宋体" w:cs="宋体"/>
                <w:kern w:val="0"/>
                <w:sz w:val="20"/>
                <w:szCs w:val="20"/>
              </w:rPr>
            </w:pPr>
          </w:p>
        </w:tc>
        <w:tc>
          <w:tcPr>
            <w:tcW w:w="851"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非税 收入 管理</w:t>
            </w:r>
          </w:p>
        </w:tc>
        <w:tc>
          <w:tcPr>
            <w:tcW w:w="567"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tcPr>
          <w:p w:rsidR="00A64D61" w:rsidRDefault="00A64D61" w:rsidP="00AE09D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①实行收支两条线，1分；</w:t>
            </w:r>
          </w:p>
          <w:p w:rsidR="00A64D61" w:rsidRDefault="00A64D61" w:rsidP="00AE09D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②未发生截留、坐支或转移，1分。以上每发现一次违规现象扣1分，扣完为止。</w:t>
            </w:r>
          </w:p>
        </w:tc>
        <w:tc>
          <w:tcPr>
            <w:tcW w:w="3472" w:type="dxa"/>
          </w:tcPr>
          <w:p w:rsidR="00A64D61" w:rsidRDefault="00A64D61" w:rsidP="00AE09DB">
            <w:pPr>
              <w:widowControl/>
              <w:jc w:val="left"/>
              <w:rPr>
                <w:rFonts w:ascii="仿宋_GB2312" w:eastAsia="仿宋_GB2312" w:hAnsi="宋体" w:cs="宋体"/>
                <w:kern w:val="0"/>
                <w:sz w:val="20"/>
                <w:szCs w:val="20"/>
              </w:rPr>
            </w:pPr>
          </w:p>
        </w:tc>
        <w:tc>
          <w:tcPr>
            <w:tcW w:w="617" w:type="dxa"/>
            <w:shd w:val="clear" w:color="auto" w:fill="auto"/>
            <w:vAlign w:val="center"/>
          </w:tcPr>
          <w:p w:rsidR="00A64D61" w:rsidRPr="00742B8F" w:rsidRDefault="00A64D61" w:rsidP="00AE09DB">
            <w:pPr>
              <w:widowControl/>
              <w:jc w:val="center"/>
              <w:rPr>
                <w:rFonts w:ascii="宋体" w:hAnsi="宋体" w:cs="宋体"/>
                <w:color w:val="000000" w:themeColor="text1"/>
                <w:kern w:val="0"/>
                <w:sz w:val="24"/>
              </w:rPr>
            </w:pPr>
            <w:r w:rsidRPr="00742B8F">
              <w:rPr>
                <w:rFonts w:ascii="宋体" w:hAnsi="宋体" w:cs="宋体" w:hint="eastAsia"/>
                <w:color w:val="000000" w:themeColor="text1"/>
                <w:kern w:val="0"/>
                <w:sz w:val="24"/>
              </w:rPr>
              <w:t>2</w:t>
            </w:r>
          </w:p>
        </w:tc>
      </w:tr>
      <w:tr w:rsidR="00A64D61" w:rsidRPr="00742B8F" w:rsidTr="00AE09DB">
        <w:trPr>
          <w:trHeight w:hRule="exact" w:val="1838"/>
          <w:jc w:val="center"/>
        </w:trPr>
        <w:tc>
          <w:tcPr>
            <w:tcW w:w="411" w:type="dxa"/>
            <w:vMerge/>
          </w:tcPr>
          <w:p w:rsidR="00A64D61" w:rsidRDefault="00A64D61" w:rsidP="00AE09DB">
            <w:pPr>
              <w:widowControl/>
              <w:jc w:val="left"/>
              <w:rPr>
                <w:rFonts w:ascii="仿宋_GB2312" w:eastAsia="仿宋_GB2312" w:hAnsi="宋体" w:cs="宋体"/>
                <w:kern w:val="0"/>
                <w:sz w:val="20"/>
                <w:szCs w:val="20"/>
              </w:rPr>
            </w:pPr>
          </w:p>
        </w:tc>
        <w:tc>
          <w:tcPr>
            <w:tcW w:w="429" w:type="dxa"/>
            <w:vMerge/>
          </w:tcPr>
          <w:p w:rsidR="00A64D61" w:rsidRDefault="00A64D61" w:rsidP="00AE09DB">
            <w:pPr>
              <w:widowControl/>
              <w:jc w:val="left"/>
              <w:rPr>
                <w:rFonts w:ascii="仿宋_GB2312" w:eastAsia="仿宋_GB2312" w:hAnsi="宋体" w:cs="宋体"/>
                <w:kern w:val="0"/>
                <w:sz w:val="20"/>
                <w:szCs w:val="20"/>
              </w:rPr>
            </w:pPr>
          </w:p>
        </w:tc>
        <w:tc>
          <w:tcPr>
            <w:tcW w:w="567" w:type="dxa"/>
            <w:vMerge/>
          </w:tcPr>
          <w:p w:rsidR="00A64D61" w:rsidRDefault="00A64D61" w:rsidP="00AE09DB">
            <w:pPr>
              <w:widowControl/>
              <w:jc w:val="left"/>
              <w:rPr>
                <w:rFonts w:ascii="仿宋_GB2312" w:eastAsia="仿宋_GB2312" w:hAnsi="宋体" w:cs="宋体"/>
                <w:kern w:val="0"/>
                <w:sz w:val="20"/>
                <w:szCs w:val="20"/>
              </w:rPr>
            </w:pPr>
          </w:p>
        </w:tc>
        <w:tc>
          <w:tcPr>
            <w:tcW w:w="851"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非税 收入 完成率</w:t>
            </w:r>
          </w:p>
        </w:tc>
        <w:tc>
          <w:tcPr>
            <w:tcW w:w="567"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非税收入完成率100%，2分，每少一个百分点，扣0.1分，扣完为止。</w:t>
            </w:r>
          </w:p>
        </w:tc>
        <w:tc>
          <w:tcPr>
            <w:tcW w:w="3472" w:type="dxa"/>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非税收入完成率=（</w:t>
            </w:r>
            <w:r>
              <w:rPr>
                <w:rFonts w:ascii="仿宋_GB2312" w:eastAsia="仿宋_GB2312" w:hAnsi="宋体" w:cs="宋体"/>
                <w:kern w:val="0"/>
                <w:sz w:val="20"/>
                <w:szCs w:val="20"/>
              </w:rPr>
              <w:t>20</w:t>
            </w:r>
            <w:r>
              <w:rPr>
                <w:rFonts w:ascii="仿宋_GB2312" w:eastAsia="仿宋_GB2312" w:hAnsi="宋体" w:cs="宋体" w:hint="eastAsia"/>
                <w:kern w:val="0"/>
                <w:sz w:val="20"/>
                <w:szCs w:val="20"/>
              </w:rPr>
              <w:t>20年度非税实际收入完成数/</w:t>
            </w:r>
            <w:r>
              <w:rPr>
                <w:rFonts w:ascii="仿宋_GB2312" w:eastAsia="仿宋_GB2312" w:hAnsi="宋体" w:cs="宋体"/>
                <w:kern w:val="0"/>
                <w:sz w:val="20"/>
                <w:szCs w:val="20"/>
              </w:rPr>
              <w:t>20</w:t>
            </w:r>
            <w:r>
              <w:rPr>
                <w:rFonts w:ascii="仿宋_GB2312" w:eastAsia="仿宋_GB2312" w:hAnsi="宋体" w:cs="宋体" w:hint="eastAsia"/>
                <w:kern w:val="0"/>
                <w:sz w:val="20"/>
                <w:szCs w:val="20"/>
              </w:rPr>
              <w:t>20年度非税收入预算数）×100%，有减免因素的，以非税局确定的为准。</w:t>
            </w:r>
          </w:p>
        </w:tc>
        <w:tc>
          <w:tcPr>
            <w:tcW w:w="617" w:type="dxa"/>
            <w:shd w:val="clear" w:color="auto" w:fill="auto"/>
            <w:vAlign w:val="center"/>
          </w:tcPr>
          <w:p w:rsidR="00A64D61" w:rsidRPr="00742B8F" w:rsidRDefault="00A64D61" w:rsidP="00AE09DB">
            <w:pPr>
              <w:widowControl/>
              <w:jc w:val="center"/>
              <w:rPr>
                <w:rFonts w:ascii="宋体" w:hAnsi="宋体" w:cs="宋体"/>
                <w:color w:val="000000" w:themeColor="text1"/>
                <w:kern w:val="0"/>
                <w:sz w:val="24"/>
              </w:rPr>
            </w:pPr>
            <w:r w:rsidRPr="00742B8F">
              <w:rPr>
                <w:rFonts w:ascii="宋体" w:hAnsi="宋体" w:cs="宋体" w:hint="eastAsia"/>
                <w:color w:val="000000" w:themeColor="text1"/>
                <w:kern w:val="0"/>
                <w:sz w:val="24"/>
              </w:rPr>
              <w:t>2</w:t>
            </w:r>
          </w:p>
        </w:tc>
      </w:tr>
      <w:tr w:rsidR="00A64D61" w:rsidRPr="00742B8F" w:rsidTr="00AE09DB">
        <w:trPr>
          <w:trHeight w:hRule="exact" w:val="2403"/>
          <w:jc w:val="center"/>
        </w:trPr>
        <w:tc>
          <w:tcPr>
            <w:tcW w:w="411" w:type="dxa"/>
            <w:vMerge w:val="restart"/>
            <w:textDirection w:val="tbRlV"/>
          </w:tcPr>
          <w:p w:rsidR="00A64D61" w:rsidRDefault="00A64D61" w:rsidP="00AE09DB">
            <w:pPr>
              <w:widowControl/>
              <w:jc w:val="center"/>
              <w:rPr>
                <w:rFonts w:ascii="仿宋_GB2312" w:eastAsia="仿宋_GB2312" w:hAnsi="宋体" w:cs="宋体"/>
                <w:kern w:val="0"/>
                <w:sz w:val="20"/>
                <w:szCs w:val="20"/>
              </w:rPr>
            </w:pPr>
          </w:p>
          <w:p w:rsidR="00A64D61" w:rsidRDefault="00A64D61" w:rsidP="00AE09DB">
            <w:pPr>
              <w:widowControl/>
              <w:jc w:val="center"/>
              <w:rPr>
                <w:rFonts w:ascii="仿宋_GB2312" w:eastAsia="仿宋_GB2312" w:hAnsi="宋体" w:cs="宋体"/>
                <w:kern w:val="0"/>
                <w:sz w:val="20"/>
                <w:szCs w:val="20"/>
              </w:rPr>
            </w:pPr>
          </w:p>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过    程</w:t>
            </w:r>
          </w:p>
          <w:p w:rsidR="00A64D61" w:rsidRDefault="00A64D61" w:rsidP="00AE09DB">
            <w:pPr>
              <w:widowControl/>
              <w:ind w:left="113" w:right="113"/>
              <w:jc w:val="left"/>
              <w:rPr>
                <w:rFonts w:ascii="仿宋_GB2312" w:eastAsia="仿宋_GB2312" w:hAnsi="宋体" w:cs="宋体"/>
                <w:kern w:val="0"/>
                <w:sz w:val="20"/>
                <w:szCs w:val="20"/>
              </w:rPr>
            </w:pPr>
          </w:p>
          <w:p w:rsidR="00A64D61" w:rsidRDefault="00A64D61" w:rsidP="00AE09DB">
            <w:pPr>
              <w:widowControl/>
              <w:jc w:val="left"/>
              <w:rPr>
                <w:rFonts w:ascii="仿宋_GB2312" w:eastAsia="仿宋_GB2312" w:hAnsi="宋体" w:cs="宋体"/>
                <w:kern w:val="0"/>
                <w:sz w:val="20"/>
                <w:szCs w:val="20"/>
              </w:rPr>
            </w:pPr>
          </w:p>
          <w:p w:rsidR="00A64D61" w:rsidRDefault="00A64D61" w:rsidP="00AE09DB">
            <w:pPr>
              <w:widowControl/>
              <w:jc w:val="left"/>
              <w:rPr>
                <w:rFonts w:ascii="仿宋_GB2312" w:eastAsia="仿宋_GB2312" w:hAnsi="宋体" w:cs="宋体"/>
                <w:kern w:val="0"/>
                <w:sz w:val="20"/>
                <w:szCs w:val="20"/>
              </w:rPr>
            </w:pPr>
          </w:p>
          <w:p w:rsidR="00A64D61" w:rsidRDefault="00A64D61" w:rsidP="00AE09DB">
            <w:pPr>
              <w:widowControl/>
              <w:jc w:val="left"/>
              <w:rPr>
                <w:rFonts w:ascii="仿宋_GB2312" w:eastAsia="仿宋_GB2312" w:hAnsi="宋体" w:cs="宋体"/>
                <w:kern w:val="0"/>
                <w:sz w:val="20"/>
                <w:szCs w:val="20"/>
              </w:rPr>
            </w:pPr>
          </w:p>
          <w:p w:rsidR="00A64D61" w:rsidRDefault="00A64D61" w:rsidP="00AE09DB">
            <w:pPr>
              <w:widowControl/>
              <w:jc w:val="left"/>
              <w:rPr>
                <w:rFonts w:ascii="仿宋_GB2312" w:eastAsia="仿宋_GB2312" w:hAnsi="宋体" w:cs="宋体"/>
                <w:kern w:val="0"/>
                <w:sz w:val="20"/>
                <w:szCs w:val="20"/>
              </w:rPr>
            </w:pPr>
          </w:p>
          <w:p w:rsidR="00A64D61" w:rsidRDefault="00A64D61" w:rsidP="00AE09DB">
            <w:pPr>
              <w:widowControl/>
              <w:jc w:val="left"/>
              <w:rPr>
                <w:rFonts w:ascii="仿宋_GB2312" w:eastAsia="仿宋_GB2312" w:hAnsi="宋体" w:cs="宋体"/>
                <w:kern w:val="0"/>
                <w:sz w:val="20"/>
                <w:szCs w:val="20"/>
              </w:rPr>
            </w:pPr>
          </w:p>
          <w:p w:rsidR="00A64D61" w:rsidRDefault="00A64D61" w:rsidP="00AE09DB">
            <w:pPr>
              <w:widowControl/>
              <w:jc w:val="left"/>
              <w:rPr>
                <w:rFonts w:ascii="仿宋_GB2312" w:eastAsia="仿宋_GB2312" w:hAnsi="宋体" w:cs="宋体"/>
                <w:kern w:val="0"/>
                <w:sz w:val="20"/>
                <w:szCs w:val="20"/>
              </w:rPr>
            </w:pPr>
          </w:p>
          <w:p w:rsidR="00A64D61" w:rsidRDefault="00A64D61" w:rsidP="00AE09DB">
            <w:pPr>
              <w:widowControl/>
              <w:jc w:val="left"/>
              <w:rPr>
                <w:rFonts w:ascii="仿宋_GB2312" w:eastAsia="仿宋_GB2312" w:hAnsi="宋体" w:cs="宋体"/>
                <w:kern w:val="0"/>
                <w:sz w:val="20"/>
                <w:szCs w:val="20"/>
              </w:rPr>
            </w:pPr>
          </w:p>
          <w:p w:rsidR="00A64D61" w:rsidRDefault="00A64D61" w:rsidP="00AE09DB">
            <w:pPr>
              <w:rPr>
                <w:rFonts w:ascii="仿宋_GB2312" w:eastAsia="仿宋_GB2312" w:hAnsi="宋体" w:cs="宋体"/>
                <w:kern w:val="0"/>
                <w:sz w:val="20"/>
                <w:szCs w:val="20"/>
              </w:rPr>
            </w:pPr>
            <w:r>
              <w:rPr>
                <w:rFonts w:ascii="仿宋_GB2312" w:eastAsia="仿宋_GB2312" w:hAnsi="宋体" w:cs="宋体" w:hint="eastAsia"/>
                <w:kern w:val="0"/>
                <w:sz w:val="20"/>
                <w:szCs w:val="20"/>
              </w:rPr>
              <w:t>过      程</w:t>
            </w:r>
          </w:p>
        </w:tc>
        <w:tc>
          <w:tcPr>
            <w:tcW w:w="429" w:type="dxa"/>
            <w:vMerge w:val="restart"/>
            <w:tcBorders>
              <w:right w:val="single" w:sz="4" w:space="0" w:color="auto"/>
            </w:tcBorders>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预算执行</w:t>
            </w:r>
          </w:p>
        </w:tc>
        <w:tc>
          <w:tcPr>
            <w:tcW w:w="567" w:type="dxa"/>
            <w:vMerge w:val="restart"/>
            <w:tcBorders>
              <w:left w:val="single" w:sz="4" w:space="0" w:color="auto"/>
            </w:tcBorders>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851"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  完成率</w:t>
            </w:r>
          </w:p>
        </w:tc>
        <w:tc>
          <w:tcPr>
            <w:tcW w:w="567"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完成率&lt;1，计2分，</w:t>
            </w:r>
          </w:p>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完成率=1，计1分，</w:t>
            </w:r>
          </w:p>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完成率&gt;1，不得分。</w:t>
            </w:r>
          </w:p>
          <w:p w:rsidR="00A64D61" w:rsidRDefault="00A64D61" w:rsidP="00AE09DB">
            <w:pPr>
              <w:widowControl/>
              <w:jc w:val="center"/>
              <w:rPr>
                <w:rFonts w:ascii="仿宋_GB2312" w:eastAsia="仿宋_GB2312" w:hAnsi="宋体" w:cs="宋体"/>
                <w:kern w:val="0"/>
                <w:sz w:val="20"/>
                <w:szCs w:val="20"/>
              </w:rPr>
            </w:pPr>
          </w:p>
        </w:tc>
        <w:tc>
          <w:tcPr>
            <w:tcW w:w="3472" w:type="dxa"/>
            <w:vAlign w:val="center"/>
          </w:tcPr>
          <w:p w:rsidR="00A64D61" w:rsidRDefault="00A64D61" w:rsidP="00AE09DB">
            <w:pPr>
              <w:autoSpaceDN w:val="0"/>
              <w:textAlignment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预算完成率=（预算完成数/预算数）×100%。预算完成数：部门（单位）本年度实际完成的预算数；预算数：财政部门批复的本年度部门（单位）预算数。</w:t>
            </w:r>
          </w:p>
        </w:tc>
        <w:tc>
          <w:tcPr>
            <w:tcW w:w="617" w:type="dxa"/>
            <w:shd w:val="clear" w:color="auto" w:fill="auto"/>
            <w:vAlign w:val="center"/>
          </w:tcPr>
          <w:p w:rsidR="00A64D61" w:rsidRPr="00742B8F" w:rsidRDefault="00A64D61" w:rsidP="00AE09DB">
            <w:pPr>
              <w:widowControl/>
              <w:jc w:val="center"/>
              <w:rPr>
                <w:rFonts w:ascii="宋体" w:hAnsi="宋体" w:cs="宋体"/>
                <w:color w:val="000000" w:themeColor="text1"/>
                <w:kern w:val="0"/>
                <w:sz w:val="24"/>
              </w:rPr>
            </w:pPr>
            <w:r w:rsidRPr="00742B8F">
              <w:rPr>
                <w:rFonts w:ascii="宋体" w:hAnsi="宋体" w:cs="宋体" w:hint="eastAsia"/>
                <w:color w:val="000000" w:themeColor="text1"/>
                <w:kern w:val="0"/>
                <w:sz w:val="24"/>
              </w:rPr>
              <w:t>2</w:t>
            </w:r>
          </w:p>
        </w:tc>
      </w:tr>
      <w:tr w:rsidR="00A64D61" w:rsidRPr="00742B8F" w:rsidTr="00AE09DB">
        <w:trPr>
          <w:trHeight w:hRule="exact" w:val="1982"/>
          <w:jc w:val="center"/>
        </w:trPr>
        <w:tc>
          <w:tcPr>
            <w:tcW w:w="411" w:type="dxa"/>
            <w:vMerge/>
          </w:tcPr>
          <w:p w:rsidR="00A64D61" w:rsidRDefault="00A64D61" w:rsidP="00AE09DB">
            <w:pPr>
              <w:rPr>
                <w:rFonts w:ascii="仿宋_GB2312" w:eastAsia="仿宋_GB2312" w:hAnsi="宋体" w:cs="宋体"/>
                <w:kern w:val="0"/>
                <w:sz w:val="20"/>
                <w:szCs w:val="20"/>
              </w:rPr>
            </w:pPr>
          </w:p>
        </w:tc>
        <w:tc>
          <w:tcPr>
            <w:tcW w:w="429" w:type="dxa"/>
            <w:vMerge/>
            <w:tcBorders>
              <w:right w:val="single" w:sz="4" w:space="0" w:color="auto"/>
            </w:tcBorders>
          </w:tcPr>
          <w:p w:rsidR="00A64D61" w:rsidRDefault="00A64D61" w:rsidP="00AE09DB">
            <w:pPr>
              <w:rPr>
                <w:rFonts w:ascii="仿宋_GB2312" w:eastAsia="仿宋_GB2312" w:hAnsi="宋体" w:cs="宋体"/>
                <w:kern w:val="0"/>
                <w:sz w:val="20"/>
                <w:szCs w:val="20"/>
              </w:rPr>
            </w:pPr>
          </w:p>
        </w:tc>
        <w:tc>
          <w:tcPr>
            <w:tcW w:w="567" w:type="dxa"/>
            <w:vMerge/>
            <w:tcBorders>
              <w:left w:val="single" w:sz="4" w:space="0" w:color="auto"/>
            </w:tcBorders>
          </w:tcPr>
          <w:p w:rsidR="00A64D61" w:rsidRDefault="00A64D61" w:rsidP="00AE09DB">
            <w:pPr>
              <w:jc w:val="center"/>
              <w:rPr>
                <w:rFonts w:ascii="仿宋_GB2312" w:eastAsia="仿宋_GB2312" w:hAnsi="宋体" w:cs="宋体"/>
                <w:kern w:val="0"/>
                <w:sz w:val="20"/>
                <w:szCs w:val="20"/>
              </w:rPr>
            </w:pPr>
          </w:p>
        </w:tc>
        <w:tc>
          <w:tcPr>
            <w:tcW w:w="851"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资金  结余</w:t>
            </w:r>
          </w:p>
        </w:tc>
        <w:tc>
          <w:tcPr>
            <w:tcW w:w="567"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结余超过10%（不含），2分；结余在0-10%（含）的，1分；本年超支不得分。</w:t>
            </w:r>
          </w:p>
        </w:tc>
        <w:tc>
          <w:tcPr>
            <w:tcW w:w="3472" w:type="dxa"/>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本项结余不含未完工项目资金的结转数。</w:t>
            </w:r>
          </w:p>
        </w:tc>
        <w:tc>
          <w:tcPr>
            <w:tcW w:w="617" w:type="dxa"/>
            <w:shd w:val="clear" w:color="auto" w:fill="auto"/>
            <w:vAlign w:val="center"/>
          </w:tcPr>
          <w:p w:rsidR="00A64D61" w:rsidRPr="00742B8F" w:rsidRDefault="00A64D61" w:rsidP="00AE09DB">
            <w:pPr>
              <w:widowControl/>
              <w:jc w:val="center"/>
              <w:rPr>
                <w:rFonts w:ascii="宋体" w:hAnsi="宋体" w:cs="宋体"/>
                <w:color w:val="000000" w:themeColor="text1"/>
                <w:kern w:val="0"/>
                <w:sz w:val="24"/>
              </w:rPr>
            </w:pPr>
            <w:r w:rsidRPr="00742B8F">
              <w:rPr>
                <w:rFonts w:ascii="宋体" w:hAnsi="宋体" w:cs="宋体" w:hint="eastAsia"/>
                <w:color w:val="000000" w:themeColor="text1"/>
                <w:kern w:val="0"/>
                <w:sz w:val="24"/>
              </w:rPr>
              <w:t>2</w:t>
            </w:r>
          </w:p>
        </w:tc>
      </w:tr>
      <w:tr w:rsidR="00A64D61" w:rsidRPr="00742B8F" w:rsidTr="00AE09DB">
        <w:trPr>
          <w:trHeight w:hRule="exact" w:val="2273"/>
          <w:jc w:val="center"/>
        </w:trPr>
        <w:tc>
          <w:tcPr>
            <w:tcW w:w="411" w:type="dxa"/>
            <w:vMerge/>
          </w:tcPr>
          <w:p w:rsidR="00A64D61" w:rsidRDefault="00A64D61" w:rsidP="00AE09DB">
            <w:pPr>
              <w:rPr>
                <w:rFonts w:ascii="仿宋_GB2312" w:eastAsia="仿宋_GB2312" w:hAnsi="宋体" w:cs="宋体"/>
                <w:kern w:val="0"/>
                <w:sz w:val="20"/>
                <w:szCs w:val="20"/>
              </w:rPr>
            </w:pPr>
          </w:p>
        </w:tc>
        <w:tc>
          <w:tcPr>
            <w:tcW w:w="429" w:type="dxa"/>
            <w:vMerge/>
            <w:tcBorders>
              <w:right w:val="single" w:sz="4" w:space="0" w:color="auto"/>
            </w:tcBorders>
          </w:tcPr>
          <w:p w:rsidR="00A64D61" w:rsidRDefault="00A64D61" w:rsidP="00AE09DB">
            <w:pPr>
              <w:rPr>
                <w:rFonts w:ascii="仿宋_GB2312" w:eastAsia="仿宋_GB2312" w:hAnsi="宋体" w:cs="宋体"/>
                <w:kern w:val="0"/>
                <w:sz w:val="20"/>
                <w:szCs w:val="20"/>
              </w:rPr>
            </w:pPr>
          </w:p>
        </w:tc>
        <w:tc>
          <w:tcPr>
            <w:tcW w:w="567" w:type="dxa"/>
            <w:vMerge/>
            <w:tcBorders>
              <w:left w:val="single" w:sz="4" w:space="0" w:color="auto"/>
            </w:tcBorders>
          </w:tcPr>
          <w:p w:rsidR="00A64D61" w:rsidRDefault="00A64D61" w:rsidP="00AE09DB">
            <w:pPr>
              <w:jc w:val="center"/>
              <w:rPr>
                <w:rFonts w:ascii="仿宋_GB2312" w:eastAsia="仿宋_GB2312" w:hAnsi="宋体" w:cs="宋体"/>
                <w:kern w:val="0"/>
                <w:sz w:val="20"/>
                <w:szCs w:val="20"/>
              </w:rPr>
            </w:pPr>
          </w:p>
        </w:tc>
        <w:tc>
          <w:tcPr>
            <w:tcW w:w="851"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“三公经费”</w:t>
            </w:r>
            <w:r>
              <w:rPr>
                <w:rFonts w:ascii="仿宋_GB2312" w:eastAsia="仿宋_GB2312" w:hAnsi="宋体" w:cs="宋体" w:hint="eastAsia"/>
                <w:kern w:val="0"/>
                <w:sz w:val="20"/>
                <w:szCs w:val="20"/>
              </w:rPr>
              <w:br/>
              <w:t>控制率</w:t>
            </w:r>
          </w:p>
        </w:tc>
        <w:tc>
          <w:tcPr>
            <w:tcW w:w="567"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以100%为标准。三公经费控制率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100%，计2分；每超过一个百分点扣0.2分，扣完为止。单位没有制定“三公”经费预算，该项不得分。</w:t>
            </w:r>
          </w:p>
        </w:tc>
        <w:tc>
          <w:tcPr>
            <w:tcW w:w="3472" w:type="dxa"/>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“三公经费”控制率=（“三公经费”实际支出数/“三公经费”预算安排数）×100%。</w:t>
            </w:r>
          </w:p>
        </w:tc>
        <w:tc>
          <w:tcPr>
            <w:tcW w:w="617" w:type="dxa"/>
            <w:shd w:val="clear" w:color="auto" w:fill="auto"/>
            <w:vAlign w:val="center"/>
          </w:tcPr>
          <w:p w:rsidR="00A64D61" w:rsidRPr="00742B8F" w:rsidRDefault="00A64D61" w:rsidP="00AE09DB">
            <w:pPr>
              <w:widowControl/>
              <w:jc w:val="center"/>
              <w:rPr>
                <w:rFonts w:ascii="宋体" w:hAnsi="宋体" w:cs="宋体"/>
                <w:color w:val="000000" w:themeColor="text1"/>
                <w:kern w:val="0"/>
                <w:sz w:val="24"/>
              </w:rPr>
            </w:pPr>
            <w:r w:rsidRPr="00742B8F">
              <w:rPr>
                <w:rFonts w:ascii="宋体" w:hAnsi="宋体" w:cs="宋体" w:hint="eastAsia"/>
                <w:color w:val="000000" w:themeColor="text1"/>
                <w:kern w:val="0"/>
                <w:sz w:val="24"/>
              </w:rPr>
              <w:t>2</w:t>
            </w:r>
          </w:p>
        </w:tc>
      </w:tr>
      <w:tr w:rsidR="00A64D61" w:rsidRPr="00742B8F" w:rsidTr="00AE09DB">
        <w:trPr>
          <w:trHeight w:hRule="exact" w:val="2271"/>
          <w:jc w:val="center"/>
        </w:trPr>
        <w:tc>
          <w:tcPr>
            <w:tcW w:w="411" w:type="dxa"/>
            <w:vMerge/>
          </w:tcPr>
          <w:p w:rsidR="00A64D61" w:rsidRDefault="00A64D61" w:rsidP="00AE09DB">
            <w:pPr>
              <w:rPr>
                <w:rFonts w:ascii="仿宋_GB2312" w:eastAsia="仿宋_GB2312" w:hAnsi="宋体" w:cs="宋体"/>
                <w:kern w:val="0"/>
                <w:sz w:val="20"/>
                <w:szCs w:val="20"/>
              </w:rPr>
            </w:pPr>
          </w:p>
        </w:tc>
        <w:tc>
          <w:tcPr>
            <w:tcW w:w="429" w:type="dxa"/>
            <w:vMerge/>
            <w:tcBorders>
              <w:bottom w:val="single" w:sz="4" w:space="0" w:color="auto"/>
              <w:right w:val="single" w:sz="4" w:space="0" w:color="auto"/>
            </w:tcBorders>
          </w:tcPr>
          <w:p w:rsidR="00A64D61" w:rsidRDefault="00A64D61" w:rsidP="00AE09DB">
            <w:pPr>
              <w:widowControl/>
              <w:jc w:val="left"/>
              <w:rPr>
                <w:rFonts w:ascii="仿宋_GB2312" w:eastAsia="仿宋_GB2312" w:hAnsi="宋体" w:cs="宋体"/>
                <w:kern w:val="0"/>
                <w:sz w:val="20"/>
                <w:szCs w:val="20"/>
              </w:rPr>
            </w:pPr>
          </w:p>
        </w:tc>
        <w:tc>
          <w:tcPr>
            <w:tcW w:w="567" w:type="dxa"/>
            <w:vMerge/>
            <w:tcBorders>
              <w:left w:val="single" w:sz="4" w:space="0" w:color="auto"/>
              <w:bottom w:val="single" w:sz="4" w:space="0" w:color="auto"/>
            </w:tcBorders>
          </w:tcPr>
          <w:p w:rsidR="00A64D61" w:rsidRDefault="00A64D61" w:rsidP="00AE09DB">
            <w:pPr>
              <w:widowControl/>
              <w:jc w:val="left"/>
              <w:rPr>
                <w:rFonts w:ascii="仿宋_GB2312" w:eastAsia="仿宋_GB2312" w:hAnsi="宋体" w:cs="宋体"/>
                <w:kern w:val="0"/>
                <w:sz w:val="20"/>
                <w:szCs w:val="20"/>
              </w:rPr>
            </w:pPr>
          </w:p>
        </w:tc>
        <w:tc>
          <w:tcPr>
            <w:tcW w:w="851"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政府</w:t>
            </w:r>
          </w:p>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采购</w:t>
            </w:r>
          </w:p>
        </w:tc>
        <w:tc>
          <w:tcPr>
            <w:tcW w:w="567"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A64D61" w:rsidRDefault="00A64D61" w:rsidP="00AE09DB">
            <w:pPr>
              <w:widowControl/>
              <w:rPr>
                <w:rFonts w:ascii="仿宋_GB2312" w:eastAsia="仿宋_GB2312" w:hAnsi="宋体" w:cs="宋体"/>
                <w:kern w:val="0"/>
                <w:sz w:val="20"/>
                <w:szCs w:val="20"/>
              </w:rPr>
            </w:pPr>
            <w:r>
              <w:rPr>
                <w:rFonts w:ascii="仿宋" w:eastAsia="仿宋" w:hAnsi="仿宋" w:cs="宋体" w:hint="eastAsia"/>
                <w:kern w:val="0"/>
                <w:sz w:val="20"/>
                <w:szCs w:val="20"/>
              </w:rPr>
              <w:t>①编</w:t>
            </w:r>
            <w:r>
              <w:rPr>
                <w:rFonts w:ascii="仿宋_GB2312" w:eastAsia="仿宋_GB2312" w:hAnsi="宋体" w:cs="宋体" w:hint="eastAsia"/>
                <w:kern w:val="0"/>
                <w:sz w:val="20"/>
                <w:szCs w:val="20"/>
              </w:rPr>
              <w:t>制政府采购年度预算并上报的，0.5分；②追加并编制政府采购预算的，0.5分；</w:t>
            </w:r>
            <w:r>
              <w:rPr>
                <w:rFonts w:ascii="仿宋" w:eastAsia="仿宋" w:hAnsi="仿宋" w:cs="宋体" w:hint="eastAsia"/>
                <w:kern w:val="0"/>
                <w:sz w:val="20"/>
                <w:szCs w:val="20"/>
              </w:rPr>
              <w:t>③</w:t>
            </w:r>
            <w:r>
              <w:rPr>
                <w:rFonts w:ascii="仿宋_GB2312" w:eastAsia="仿宋_GB2312" w:hAnsi="宋体" w:cs="宋体" w:hint="eastAsia"/>
                <w:kern w:val="0"/>
                <w:sz w:val="20"/>
                <w:szCs w:val="20"/>
              </w:rPr>
              <w:t>政府采购执行率=100%，计1分；每少一个百分点扣0.1分，扣完为止。</w:t>
            </w:r>
          </w:p>
        </w:tc>
        <w:tc>
          <w:tcPr>
            <w:tcW w:w="3472" w:type="dxa"/>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政府采购执行率=（实际实行政府采购金额/应实行政府采购金额）×100%。应实行政府采金额以《湘财购[2012]27号》文件为标准。</w:t>
            </w:r>
          </w:p>
        </w:tc>
        <w:tc>
          <w:tcPr>
            <w:tcW w:w="617" w:type="dxa"/>
            <w:shd w:val="clear" w:color="auto" w:fill="auto"/>
            <w:vAlign w:val="center"/>
          </w:tcPr>
          <w:p w:rsidR="00A64D61" w:rsidRPr="00742B8F" w:rsidRDefault="00A64D61" w:rsidP="00AE09DB">
            <w:pPr>
              <w:widowControl/>
              <w:jc w:val="center"/>
              <w:rPr>
                <w:rFonts w:ascii="宋体" w:hAnsi="宋体" w:cs="宋体"/>
                <w:color w:val="000000" w:themeColor="text1"/>
                <w:kern w:val="0"/>
                <w:sz w:val="24"/>
              </w:rPr>
            </w:pPr>
            <w:r w:rsidRPr="00742B8F">
              <w:rPr>
                <w:rFonts w:ascii="宋体" w:hAnsi="宋体" w:cs="宋体" w:hint="eastAsia"/>
                <w:color w:val="000000" w:themeColor="text1"/>
                <w:kern w:val="0"/>
                <w:sz w:val="24"/>
              </w:rPr>
              <w:t>2</w:t>
            </w:r>
          </w:p>
        </w:tc>
      </w:tr>
      <w:tr w:rsidR="00A64D61" w:rsidRPr="00742B8F" w:rsidTr="00AE09DB">
        <w:trPr>
          <w:trHeight w:hRule="exact" w:val="4564"/>
          <w:jc w:val="center"/>
        </w:trPr>
        <w:tc>
          <w:tcPr>
            <w:tcW w:w="411" w:type="dxa"/>
            <w:vMerge/>
          </w:tcPr>
          <w:p w:rsidR="00A64D61" w:rsidRDefault="00A64D61" w:rsidP="00AE09DB">
            <w:pPr>
              <w:widowControl/>
              <w:jc w:val="left"/>
              <w:rPr>
                <w:rFonts w:ascii="仿宋_GB2312" w:eastAsia="仿宋_GB2312" w:hAnsi="宋体" w:cs="宋体"/>
                <w:kern w:val="0"/>
                <w:sz w:val="20"/>
                <w:szCs w:val="20"/>
              </w:rPr>
            </w:pPr>
          </w:p>
        </w:tc>
        <w:tc>
          <w:tcPr>
            <w:tcW w:w="429" w:type="dxa"/>
            <w:vMerge w:val="restart"/>
            <w:tcBorders>
              <w:top w:val="single" w:sz="4" w:space="0" w:color="auto"/>
              <w:right w:val="single" w:sz="4" w:space="0" w:color="auto"/>
            </w:tcBorders>
            <w:vAlign w:val="center"/>
          </w:tcPr>
          <w:p w:rsidR="00A64D61" w:rsidRDefault="00A64D61" w:rsidP="00AE09DB">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预算管理</w:t>
            </w:r>
          </w:p>
        </w:tc>
        <w:tc>
          <w:tcPr>
            <w:tcW w:w="567" w:type="dxa"/>
            <w:vMerge w:val="restart"/>
            <w:tcBorders>
              <w:top w:val="single" w:sz="4" w:space="0" w:color="auto"/>
              <w:left w:val="single" w:sz="4" w:space="0" w:color="auto"/>
            </w:tcBorders>
            <w:vAlign w:val="center"/>
          </w:tcPr>
          <w:p w:rsidR="00A64D61" w:rsidRDefault="00A64D61" w:rsidP="00AE09DB">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28</w:t>
            </w:r>
          </w:p>
        </w:tc>
        <w:tc>
          <w:tcPr>
            <w:tcW w:w="851" w:type="dxa"/>
            <w:tcBorders>
              <w:top w:val="single" w:sz="4" w:space="0" w:color="auto"/>
            </w:tcBorders>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管理  制度</w:t>
            </w:r>
            <w:r>
              <w:rPr>
                <w:rFonts w:ascii="仿宋_GB2312" w:eastAsia="仿宋_GB2312" w:hAnsi="宋体" w:cs="宋体" w:hint="eastAsia"/>
                <w:kern w:val="0"/>
                <w:sz w:val="20"/>
                <w:szCs w:val="20"/>
              </w:rPr>
              <w:br/>
              <w:t>健全性</w:t>
            </w:r>
          </w:p>
        </w:tc>
        <w:tc>
          <w:tcPr>
            <w:tcW w:w="567" w:type="dxa"/>
            <w:tcBorders>
              <w:top w:val="single" w:sz="4" w:space="0" w:color="auto"/>
            </w:tcBorders>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p w:rsidR="00A64D61" w:rsidRDefault="00A64D61" w:rsidP="00AE09DB">
            <w:pPr>
              <w:widowControl/>
              <w:jc w:val="center"/>
              <w:rPr>
                <w:rFonts w:ascii="仿宋_GB2312" w:eastAsia="仿宋_GB2312" w:hAnsi="宋体" w:cs="宋体"/>
                <w:kern w:val="0"/>
                <w:sz w:val="20"/>
                <w:szCs w:val="20"/>
              </w:rPr>
            </w:pPr>
          </w:p>
        </w:tc>
        <w:tc>
          <w:tcPr>
            <w:tcW w:w="3118" w:type="dxa"/>
            <w:tcBorders>
              <w:top w:val="single" w:sz="4" w:space="0" w:color="auto"/>
            </w:tcBorders>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①已制定资金管理办法、内部财务管理制度、会计核算制度等管理制度，1分；</w:t>
            </w:r>
            <w:r>
              <w:rPr>
                <w:rFonts w:ascii="仿宋_GB2312" w:eastAsia="仿宋_GB2312" w:hAnsi="宋体" w:cs="宋体" w:hint="eastAsia"/>
                <w:kern w:val="0"/>
                <w:sz w:val="20"/>
                <w:szCs w:val="20"/>
              </w:rPr>
              <w:br/>
              <w:t>②建立健全单位内部控制制度，1分；</w:t>
            </w:r>
            <w:r>
              <w:rPr>
                <w:rFonts w:ascii="仿宋_GB2312" w:eastAsia="仿宋_GB2312" w:hAnsi="宋体" w:cs="宋体" w:hint="eastAsia"/>
                <w:kern w:val="0"/>
                <w:sz w:val="20"/>
                <w:szCs w:val="20"/>
              </w:rPr>
              <w:br/>
              <w:t>③会计人员、机构按规定设置，1分；</w:t>
            </w:r>
          </w:p>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④会计基础工作健全，1分；</w:t>
            </w:r>
          </w:p>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⑤会计档案符合规定要求，1分；</w:t>
            </w:r>
          </w:p>
          <w:p w:rsidR="00A64D61" w:rsidRDefault="00A64D61" w:rsidP="00AE09DB">
            <w:pPr>
              <w:widowControl/>
              <w:rPr>
                <w:rFonts w:ascii="仿宋_GB2312" w:eastAsia="仿宋_GB2312" w:hAnsi="宋体" w:cs="宋体"/>
                <w:kern w:val="0"/>
                <w:sz w:val="20"/>
                <w:szCs w:val="20"/>
              </w:rPr>
            </w:pPr>
            <w:r>
              <w:rPr>
                <w:rFonts w:ascii="仿宋_GB2312" w:eastAsia="仿宋_GB2312" w:hAnsi="仿宋" w:cs="仿宋" w:hint="eastAsia"/>
                <w:kern w:val="0"/>
                <w:sz w:val="20"/>
                <w:szCs w:val="20"/>
              </w:rPr>
              <w:t>⑥项目管理规范（包括项目立项、申报、招投标、制度建立、按时完工等），1分，每发现少一项扣0.2分，扣完为止。</w:t>
            </w:r>
          </w:p>
        </w:tc>
        <w:tc>
          <w:tcPr>
            <w:tcW w:w="3472" w:type="dxa"/>
            <w:tcBorders>
              <w:top w:val="single" w:sz="4" w:space="0" w:color="auto"/>
            </w:tcBorders>
          </w:tcPr>
          <w:p w:rsidR="00A64D61" w:rsidRDefault="00A64D61" w:rsidP="00AE09DB">
            <w:pPr>
              <w:widowControl/>
              <w:jc w:val="left"/>
              <w:rPr>
                <w:rFonts w:ascii="仿宋_GB2312" w:eastAsia="仿宋_GB2312" w:hAnsi="宋体" w:cs="宋体"/>
                <w:kern w:val="0"/>
                <w:sz w:val="20"/>
                <w:szCs w:val="20"/>
              </w:rPr>
            </w:pPr>
          </w:p>
        </w:tc>
        <w:tc>
          <w:tcPr>
            <w:tcW w:w="617" w:type="dxa"/>
            <w:tcBorders>
              <w:top w:val="single" w:sz="4" w:space="0" w:color="auto"/>
            </w:tcBorders>
            <w:shd w:val="clear" w:color="auto" w:fill="auto"/>
            <w:vAlign w:val="center"/>
          </w:tcPr>
          <w:p w:rsidR="00A64D61" w:rsidRPr="00742B8F" w:rsidRDefault="00A64D61" w:rsidP="00AE09DB">
            <w:pPr>
              <w:widowControl/>
              <w:jc w:val="center"/>
              <w:rPr>
                <w:rFonts w:ascii="宋体" w:hAnsi="宋体" w:cs="宋体"/>
                <w:color w:val="000000" w:themeColor="text1"/>
                <w:kern w:val="0"/>
                <w:sz w:val="24"/>
              </w:rPr>
            </w:pPr>
            <w:r w:rsidRPr="00742B8F">
              <w:rPr>
                <w:rFonts w:ascii="宋体" w:hAnsi="宋体" w:cs="宋体" w:hint="eastAsia"/>
                <w:color w:val="000000" w:themeColor="text1"/>
                <w:kern w:val="0"/>
                <w:sz w:val="24"/>
              </w:rPr>
              <w:t>6</w:t>
            </w:r>
          </w:p>
        </w:tc>
      </w:tr>
      <w:tr w:rsidR="00A64D61" w:rsidRPr="00742B8F" w:rsidTr="00AE09DB">
        <w:trPr>
          <w:trHeight w:hRule="exact" w:val="1708"/>
          <w:jc w:val="center"/>
        </w:trPr>
        <w:tc>
          <w:tcPr>
            <w:tcW w:w="411" w:type="dxa"/>
            <w:vMerge/>
          </w:tcPr>
          <w:p w:rsidR="00A64D61" w:rsidRDefault="00A64D61" w:rsidP="00AE09DB">
            <w:pPr>
              <w:widowControl/>
              <w:jc w:val="left"/>
              <w:rPr>
                <w:rFonts w:ascii="仿宋_GB2312" w:eastAsia="仿宋_GB2312" w:hAnsi="宋体" w:cs="宋体"/>
                <w:kern w:val="0"/>
                <w:sz w:val="20"/>
                <w:szCs w:val="20"/>
              </w:rPr>
            </w:pPr>
          </w:p>
        </w:tc>
        <w:tc>
          <w:tcPr>
            <w:tcW w:w="429" w:type="dxa"/>
            <w:vMerge/>
            <w:tcBorders>
              <w:top w:val="single" w:sz="4" w:space="0" w:color="auto"/>
              <w:right w:val="single" w:sz="4" w:space="0" w:color="auto"/>
            </w:tcBorders>
            <w:vAlign w:val="center"/>
          </w:tcPr>
          <w:p w:rsidR="00A64D61" w:rsidRDefault="00A64D61" w:rsidP="00AE09DB">
            <w:pPr>
              <w:jc w:val="center"/>
              <w:rPr>
                <w:rFonts w:ascii="仿宋_GB2312" w:eastAsia="仿宋_GB2312" w:hAnsi="宋体" w:cs="宋体"/>
                <w:kern w:val="0"/>
                <w:sz w:val="20"/>
                <w:szCs w:val="20"/>
              </w:rPr>
            </w:pPr>
          </w:p>
        </w:tc>
        <w:tc>
          <w:tcPr>
            <w:tcW w:w="567" w:type="dxa"/>
            <w:vMerge/>
            <w:tcBorders>
              <w:top w:val="single" w:sz="4" w:space="0" w:color="auto"/>
              <w:left w:val="single" w:sz="4" w:space="0" w:color="auto"/>
            </w:tcBorders>
            <w:vAlign w:val="center"/>
          </w:tcPr>
          <w:p w:rsidR="00A64D61" w:rsidRDefault="00A64D61" w:rsidP="00AE09DB">
            <w:pPr>
              <w:jc w:val="center"/>
              <w:rPr>
                <w:rFonts w:ascii="仿宋_GB2312" w:eastAsia="仿宋_GB2312" w:hAnsi="宋体" w:cs="宋体"/>
                <w:kern w:val="0"/>
                <w:sz w:val="20"/>
                <w:szCs w:val="20"/>
              </w:rPr>
            </w:pPr>
          </w:p>
        </w:tc>
        <w:tc>
          <w:tcPr>
            <w:tcW w:w="851" w:type="dxa"/>
            <w:tcBorders>
              <w:top w:val="single" w:sz="4" w:space="0" w:color="auto"/>
            </w:tcBorders>
            <w:vAlign w:val="center"/>
          </w:tcPr>
          <w:p w:rsidR="00A64D61" w:rsidRDefault="00A64D61" w:rsidP="00AE09DB">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内控制度情况</w:t>
            </w:r>
          </w:p>
        </w:tc>
        <w:tc>
          <w:tcPr>
            <w:tcW w:w="567" w:type="dxa"/>
            <w:tcBorders>
              <w:top w:val="single" w:sz="4" w:space="0" w:color="auto"/>
            </w:tcBorders>
            <w:vAlign w:val="center"/>
          </w:tcPr>
          <w:p w:rsidR="00A64D61" w:rsidRDefault="00A64D61" w:rsidP="00AE09DB">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4分</w:t>
            </w:r>
          </w:p>
        </w:tc>
        <w:tc>
          <w:tcPr>
            <w:tcW w:w="3118" w:type="dxa"/>
            <w:tcBorders>
              <w:top w:val="single" w:sz="4" w:space="0" w:color="auto"/>
            </w:tcBorders>
            <w:vAlign w:val="center"/>
          </w:tcPr>
          <w:p w:rsidR="00A64D61" w:rsidRDefault="00A64D61" w:rsidP="00AE09DB">
            <w:pPr>
              <w:rPr>
                <w:rFonts w:ascii="仿宋_GB2312" w:eastAsia="仿宋_GB2312" w:hAnsi="宋体" w:cs="宋体"/>
                <w:kern w:val="0"/>
                <w:sz w:val="20"/>
                <w:szCs w:val="20"/>
              </w:rPr>
            </w:pPr>
            <w:r>
              <w:rPr>
                <w:rFonts w:ascii="仿宋_GB2312" w:eastAsia="仿宋_GB2312" w:hAnsi="宋体" w:cs="宋体" w:hint="eastAsia"/>
                <w:kern w:val="0"/>
                <w:sz w:val="20"/>
                <w:szCs w:val="20"/>
              </w:rPr>
              <w:t>内部控制制度完全执行，4分，执行过程中，某个环节（节点）执行不到位的，每个环节（节点）扣1分，扣完为止。</w:t>
            </w:r>
          </w:p>
        </w:tc>
        <w:tc>
          <w:tcPr>
            <w:tcW w:w="3472" w:type="dxa"/>
            <w:tcBorders>
              <w:top w:val="single" w:sz="4" w:space="0" w:color="auto"/>
            </w:tcBorders>
          </w:tcPr>
          <w:p w:rsidR="00A64D61" w:rsidRDefault="00A64D61" w:rsidP="00AE09DB">
            <w:pPr>
              <w:widowControl/>
              <w:jc w:val="left"/>
              <w:rPr>
                <w:rFonts w:ascii="仿宋_GB2312" w:eastAsia="仿宋_GB2312" w:hAnsi="宋体" w:cs="宋体"/>
                <w:kern w:val="0"/>
                <w:sz w:val="20"/>
                <w:szCs w:val="20"/>
              </w:rPr>
            </w:pPr>
          </w:p>
        </w:tc>
        <w:tc>
          <w:tcPr>
            <w:tcW w:w="617" w:type="dxa"/>
            <w:tcBorders>
              <w:top w:val="single" w:sz="4" w:space="0" w:color="auto"/>
            </w:tcBorders>
            <w:shd w:val="clear" w:color="auto" w:fill="auto"/>
            <w:vAlign w:val="center"/>
          </w:tcPr>
          <w:p w:rsidR="00A64D61" w:rsidRPr="00742B8F" w:rsidRDefault="00A64D61" w:rsidP="00AE09DB">
            <w:pPr>
              <w:widowControl/>
              <w:jc w:val="center"/>
              <w:rPr>
                <w:rFonts w:ascii="宋体" w:hAnsi="宋体" w:cs="宋体"/>
                <w:color w:val="000000" w:themeColor="text1"/>
                <w:kern w:val="0"/>
                <w:sz w:val="24"/>
              </w:rPr>
            </w:pPr>
            <w:r w:rsidRPr="00742B8F">
              <w:rPr>
                <w:rFonts w:ascii="宋体" w:hAnsi="宋体" w:cs="宋体" w:hint="eastAsia"/>
                <w:color w:val="000000" w:themeColor="text1"/>
                <w:kern w:val="0"/>
                <w:sz w:val="24"/>
              </w:rPr>
              <w:t>4</w:t>
            </w:r>
          </w:p>
        </w:tc>
      </w:tr>
      <w:tr w:rsidR="00A64D61" w:rsidRPr="00742B8F" w:rsidTr="00AE09DB">
        <w:trPr>
          <w:trHeight w:val="6097"/>
          <w:jc w:val="center"/>
        </w:trPr>
        <w:tc>
          <w:tcPr>
            <w:tcW w:w="411" w:type="dxa"/>
            <w:vMerge w:val="restart"/>
            <w:tcBorders>
              <w:top w:val="nil"/>
            </w:tcBorders>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过程</w:t>
            </w:r>
          </w:p>
        </w:tc>
        <w:tc>
          <w:tcPr>
            <w:tcW w:w="429" w:type="dxa"/>
            <w:vMerge/>
            <w:tcBorders>
              <w:right w:val="single" w:sz="4" w:space="0" w:color="auto"/>
            </w:tcBorders>
            <w:vAlign w:val="center"/>
          </w:tcPr>
          <w:p w:rsidR="00A64D61" w:rsidRDefault="00A64D61" w:rsidP="00AE09DB">
            <w:pPr>
              <w:jc w:val="center"/>
              <w:rPr>
                <w:rFonts w:ascii="仿宋_GB2312" w:eastAsia="仿宋_GB2312" w:hAnsi="宋体" w:cs="宋体"/>
                <w:kern w:val="0"/>
                <w:sz w:val="20"/>
                <w:szCs w:val="20"/>
              </w:rPr>
            </w:pPr>
          </w:p>
        </w:tc>
        <w:tc>
          <w:tcPr>
            <w:tcW w:w="567" w:type="dxa"/>
            <w:vMerge/>
            <w:tcBorders>
              <w:left w:val="single" w:sz="4" w:space="0" w:color="auto"/>
            </w:tcBorders>
            <w:vAlign w:val="center"/>
          </w:tcPr>
          <w:p w:rsidR="00A64D61" w:rsidRDefault="00A64D61" w:rsidP="00AE09DB">
            <w:pPr>
              <w:jc w:val="center"/>
              <w:rPr>
                <w:rFonts w:ascii="仿宋_GB2312" w:eastAsia="仿宋_GB2312" w:hAnsi="宋体" w:cs="宋体"/>
                <w:kern w:val="0"/>
                <w:sz w:val="20"/>
                <w:szCs w:val="20"/>
              </w:rPr>
            </w:pPr>
          </w:p>
        </w:tc>
        <w:tc>
          <w:tcPr>
            <w:tcW w:w="851"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资金  使用</w:t>
            </w:r>
            <w:r>
              <w:rPr>
                <w:rFonts w:ascii="仿宋_GB2312" w:eastAsia="仿宋_GB2312" w:hAnsi="宋体" w:cs="宋体" w:hint="eastAsia"/>
                <w:kern w:val="0"/>
                <w:sz w:val="20"/>
                <w:szCs w:val="20"/>
              </w:rPr>
              <w:br/>
              <w:t>合规性</w:t>
            </w:r>
          </w:p>
        </w:tc>
        <w:tc>
          <w:tcPr>
            <w:tcW w:w="567" w:type="dxa"/>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14</w:t>
            </w:r>
          </w:p>
        </w:tc>
        <w:tc>
          <w:tcPr>
            <w:tcW w:w="3118" w:type="dxa"/>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①支出符合国家财经法规和财务管理制度规定以及有关专项资金管理办法的规定；</w:t>
            </w:r>
            <w:r>
              <w:rPr>
                <w:rFonts w:ascii="仿宋_GB2312" w:eastAsia="仿宋_GB2312" w:hAnsi="宋体" w:cs="宋体" w:hint="eastAsia"/>
                <w:kern w:val="0"/>
                <w:sz w:val="20"/>
                <w:szCs w:val="20"/>
              </w:rPr>
              <w:br/>
              <w:t>②资金（开支）拨付有完整的审批程序和手续；</w:t>
            </w:r>
            <w:r>
              <w:rPr>
                <w:rFonts w:ascii="仿宋_GB2312" w:eastAsia="仿宋_GB2312" w:hAnsi="宋体" w:cs="宋体" w:hint="eastAsia"/>
                <w:kern w:val="0"/>
                <w:sz w:val="20"/>
                <w:szCs w:val="20"/>
              </w:rPr>
              <w:br/>
              <w:t>③支出符合部门预算批复的用途；</w:t>
            </w:r>
            <w:r>
              <w:rPr>
                <w:rFonts w:ascii="仿宋_GB2312" w:eastAsia="仿宋_GB2312" w:hAnsi="宋体" w:cs="宋体" w:hint="eastAsia"/>
                <w:kern w:val="0"/>
                <w:sz w:val="20"/>
                <w:szCs w:val="20"/>
              </w:rPr>
              <w:br/>
              <w:t>④资金使用无截留、挤占、挪用、虚列支出、随意借用、大额现金支付等情况。</w:t>
            </w:r>
          </w:p>
          <w:p w:rsidR="00A64D61" w:rsidRDefault="00A64D61" w:rsidP="00AE09DB">
            <w:pPr>
              <w:widowControl/>
              <w:rPr>
                <w:rFonts w:ascii="仿宋_GB2312" w:eastAsia="仿宋_GB2312" w:hAnsi="仿宋" w:cs="仿宋"/>
                <w:kern w:val="0"/>
                <w:sz w:val="20"/>
                <w:szCs w:val="20"/>
              </w:rPr>
            </w:pPr>
            <w:r>
              <w:rPr>
                <w:rFonts w:ascii="仿宋_GB2312" w:eastAsia="仿宋_GB2312" w:hAnsi="微软雅黑" w:cs="微软雅黑" w:hint="eastAsia"/>
                <w:kern w:val="0"/>
                <w:sz w:val="20"/>
                <w:szCs w:val="20"/>
              </w:rPr>
              <w:t>⑤</w:t>
            </w:r>
            <w:r>
              <w:rPr>
                <w:rFonts w:ascii="仿宋_GB2312" w:eastAsia="仿宋_GB2312" w:hAnsi="仿宋" w:cs="仿宋" w:hint="eastAsia"/>
                <w:kern w:val="0"/>
                <w:sz w:val="20"/>
                <w:szCs w:val="20"/>
              </w:rPr>
              <w:t>重大财务事项经由集体研究决</w:t>
            </w:r>
            <w:r>
              <w:rPr>
                <w:rFonts w:ascii="仿宋_GB2312" w:eastAsia="仿宋_GB2312" w:hAnsi="仿宋" w:cs="仿宋" w:hint="eastAsia"/>
                <w:kern w:val="0"/>
                <w:sz w:val="20"/>
                <w:szCs w:val="20"/>
              </w:rPr>
              <w:lastRenderedPageBreak/>
              <w:t>策；</w:t>
            </w:r>
          </w:p>
          <w:p w:rsidR="00A64D61" w:rsidRDefault="00A64D61" w:rsidP="00AE09DB">
            <w:pPr>
              <w:widowControl/>
              <w:rPr>
                <w:rFonts w:ascii="仿宋_GB2312" w:eastAsia="仿宋_GB2312" w:hAnsi="仿宋" w:cs="仿宋"/>
                <w:kern w:val="0"/>
                <w:sz w:val="20"/>
                <w:szCs w:val="20"/>
              </w:rPr>
            </w:pPr>
            <w:r>
              <w:rPr>
                <w:rFonts w:ascii="仿宋_GB2312" w:eastAsia="仿宋_GB2312" w:hAnsi="微软雅黑" w:cs="微软雅黑" w:hint="eastAsia"/>
                <w:kern w:val="0"/>
                <w:sz w:val="20"/>
                <w:szCs w:val="20"/>
              </w:rPr>
              <w:t>⑥</w:t>
            </w:r>
            <w:r>
              <w:rPr>
                <w:rFonts w:ascii="仿宋_GB2312" w:eastAsia="仿宋_GB2312" w:hAnsi="仿宋" w:cs="仿宋" w:hint="eastAsia"/>
                <w:kern w:val="0"/>
                <w:sz w:val="20"/>
                <w:szCs w:val="20"/>
              </w:rPr>
              <w:t>专项资金做到专款专用；</w:t>
            </w:r>
          </w:p>
          <w:p w:rsidR="00A64D61" w:rsidRDefault="00A64D61" w:rsidP="00AE09DB">
            <w:pPr>
              <w:widowControl/>
              <w:rPr>
                <w:rFonts w:ascii="仿宋_GB2312" w:eastAsia="仿宋_GB2312" w:hAnsi="仿宋" w:cs="仿宋"/>
                <w:kern w:val="0"/>
                <w:sz w:val="20"/>
                <w:szCs w:val="20"/>
              </w:rPr>
            </w:pPr>
            <w:r>
              <w:rPr>
                <w:rFonts w:ascii="仿宋_GB2312" w:eastAsia="仿宋_GB2312" w:hAnsi="微软雅黑" w:cs="微软雅黑" w:hint="eastAsia"/>
                <w:kern w:val="0"/>
                <w:sz w:val="20"/>
                <w:szCs w:val="20"/>
              </w:rPr>
              <w:t>⑦</w:t>
            </w:r>
            <w:r>
              <w:rPr>
                <w:rFonts w:ascii="仿宋_GB2312" w:eastAsia="仿宋_GB2312" w:hAnsi="仿宋" w:cs="仿宋" w:hint="eastAsia"/>
                <w:kern w:val="0"/>
                <w:sz w:val="20"/>
                <w:szCs w:val="20"/>
              </w:rPr>
              <w:t>原始凭证的取得真实有效；</w:t>
            </w:r>
          </w:p>
          <w:p w:rsidR="00A64D61" w:rsidRDefault="00A64D61" w:rsidP="00AE09DB">
            <w:pPr>
              <w:widowControl/>
              <w:rPr>
                <w:rFonts w:ascii="仿宋_GB2312" w:eastAsia="仿宋_GB2312" w:hAnsi="仿宋" w:cs="仿宋"/>
                <w:kern w:val="0"/>
                <w:sz w:val="20"/>
                <w:szCs w:val="20"/>
              </w:rPr>
            </w:pPr>
            <w:r>
              <w:rPr>
                <w:rFonts w:ascii="仿宋_GB2312" w:eastAsia="仿宋_GB2312" w:hAnsi="微软雅黑" w:cs="微软雅黑" w:hint="eastAsia"/>
                <w:kern w:val="0"/>
                <w:sz w:val="20"/>
                <w:szCs w:val="20"/>
              </w:rPr>
              <w:t>⑧</w:t>
            </w:r>
            <w:r>
              <w:rPr>
                <w:rFonts w:ascii="仿宋_GB2312" w:eastAsia="仿宋_GB2312" w:hAnsi="仿宋" w:cs="仿宋" w:hint="eastAsia"/>
                <w:kern w:val="0"/>
                <w:sz w:val="20"/>
                <w:szCs w:val="20"/>
              </w:rPr>
              <w:t>无超范围、超预算开支；</w:t>
            </w:r>
          </w:p>
          <w:p w:rsidR="00A64D61" w:rsidRDefault="00A64D61" w:rsidP="00AE09DB">
            <w:pPr>
              <w:widowControl/>
              <w:rPr>
                <w:rFonts w:ascii="仿宋_GB2312" w:eastAsia="仿宋_GB2312" w:hAnsi="宋体" w:cs="宋体"/>
                <w:kern w:val="0"/>
                <w:sz w:val="20"/>
                <w:szCs w:val="20"/>
              </w:rPr>
            </w:pPr>
            <w:r>
              <w:rPr>
                <w:rFonts w:ascii="仿宋" w:eastAsia="仿宋" w:hAnsi="仿宋" w:cs="仿宋" w:hint="eastAsia"/>
                <w:kern w:val="0"/>
                <w:sz w:val="20"/>
                <w:szCs w:val="20"/>
              </w:rPr>
              <w:t>⑨</w:t>
            </w:r>
            <w:r>
              <w:rPr>
                <w:rFonts w:ascii="仿宋_GB2312" w:eastAsia="仿宋_GB2312" w:hAnsi="仿宋" w:cs="仿宋" w:hint="eastAsia"/>
                <w:kern w:val="0"/>
                <w:sz w:val="20"/>
                <w:szCs w:val="20"/>
              </w:rPr>
              <w:t>无超标准发放津补贴、奖金，无用公款支付应由个人支付的款项。</w:t>
            </w:r>
            <w:r>
              <w:rPr>
                <w:rFonts w:ascii="仿宋_GB2312" w:eastAsia="仿宋_GB2312" w:hAnsi="仿宋" w:cs="仿宋" w:hint="eastAsia"/>
                <w:kern w:val="0"/>
                <w:sz w:val="20"/>
                <w:szCs w:val="20"/>
              </w:rPr>
              <w:br/>
              <w:t>以上情况每出现一例不</w:t>
            </w:r>
            <w:r>
              <w:rPr>
                <w:rFonts w:ascii="仿宋_GB2312" w:eastAsia="仿宋_GB2312" w:hAnsi="宋体" w:cs="宋体" w:hint="eastAsia"/>
                <w:kern w:val="0"/>
                <w:sz w:val="20"/>
                <w:szCs w:val="20"/>
              </w:rPr>
              <w:t>符合要求的扣2分，扣完为止。</w:t>
            </w:r>
          </w:p>
        </w:tc>
        <w:tc>
          <w:tcPr>
            <w:tcW w:w="3472" w:type="dxa"/>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部门（单位）使用预算资金是否符合相关的预算财务管理制度的规定，用以反映和考核部门（单位）预算资金的规范运行情况。</w:t>
            </w:r>
          </w:p>
        </w:tc>
        <w:tc>
          <w:tcPr>
            <w:tcW w:w="617" w:type="dxa"/>
            <w:shd w:val="clear" w:color="auto" w:fill="auto"/>
            <w:vAlign w:val="center"/>
          </w:tcPr>
          <w:p w:rsidR="00A64D61" w:rsidRPr="00742B8F" w:rsidRDefault="00A64D61" w:rsidP="00AE09DB">
            <w:pPr>
              <w:widowControl/>
              <w:jc w:val="center"/>
              <w:rPr>
                <w:rFonts w:ascii="宋体" w:hAnsi="宋体" w:cs="宋体"/>
                <w:color w:val="000000" w:themeColor="text1"/>
                <w:kern w:val="0"/>
                <w:sz w:val="24"/>
              </w:rPr>
            </w:pPr>
            <w:r w:rsidRPr="00742B8F">
              <w:rPr>
                <w:rFonts w:ascii="宋体" w:hAnsi="宋体" w:cs="宋体" w:hint="eastAsia"/>
                <w:color w:val="000000" w:themeColor="text1"/>
                <w:kern w:val="0"/>
                <w:sz w:val="24"/>
              </w:rPr>
              <w:t>14</w:t>
            </w:r>
          </w:p>
        </w:tc>
      </w:tr>
      <w:tr w:rsidR="00A64D61" w:rsidRPr="00742B8F" w:rsidTr="00AE09DB">
        <w:trPr>
          <w:trHeight w:val="2036"/>
          <w:jc w:val="center"/>
        </w:trPr>
        <w:tc>
          <w:tcPr>
            <w:tcW w:w="411" w:type="dxa"/>
            <w:vMerge/>
            <w:tcBorders>
              <w:top w:val="nil"/>
            </w:tcBorders>
          </w:tcPr>
          <w:p w:rsidR="00A64D61" w:rsidRDefault="00A64D61" w:rsidP="00AE09DB">
            <w:pPr>
              <w:widowControl/>
              <w:jc w:val="left"/>
              <w:rPr>
                <w:rFonts w:ascii="仿宋_GB2312" w:eastAsia="仿宋_GB2312" w:hAnsi="宋体" w:cs="宋体"/>
                <w:kern w:val="0"/>
                <w:sz w:val="20"/>
                <w:szCs w:val="20"/>
              </w:rPr>
            </w:pPr>
          </w:p>
        </w:tc>
        <w:tc>
          <w:tcPr>
            <w:tcW w:w="429" w:type="dxa"/>
            <w:vMerge/>
            <w:tcBorders>
              <w:bottom w:val="single" w:sz="4" w:space="0" w:color="auto"/>
              <w:right w:val="single" w:sz="4" w:space="0" w:color="auto"/>
            </w:tcBorders>
          </w:tcPr>
          <w:p w:rsidR="00A64D61" w:rsidRDefault="00A64D61" w:rsidP="00AE09DB">
            <w:pPr>
              <w:widowControl/>
              <w:jc w:val="left"/>
              <w:rPr>
                <w:rFonts w:ascii="仿宋_GB2312" w:eastAsia="仿宋_GB2312" w:hAnsi="宋体" w:cs="宋体"/>
                <w:kern w:val="0"/>
                <w:sz w:val="20"/>
                <w:szCs w:val="20"/>
              </w:rPr>
            </w:pPr>
          </w:p>
        </w:tc>
        <w:tc>
          <w:tcPr>
            <w:tcW w:w="567" w:type="dxa"/>
            <w:vMerge/>
            <w:tcBorders>
              <w:left w:val="single" w:sz="4" w:space="0" w:color="auto"/>
              <w:bottom w:val="single" w:sz="4" w:space="0" w:color="auto"/>
            </w:tcBorders>
          </w:tcPr>
          <w:p w:rsidR="00A64D61" w:rsidRDefault="00A64D61" w:rsidP="00AE09DB">
            <w:pPr>
              <w:widowControl/>
              <w:jc w:val="left"/>
              <w:rPr>
                <w:rFonts w:ascii="仿宋_GB2312" w:eastAsia="仿宋_GB2312" w:hAnsi="宋体" w:cs="宋体"/>
                <w:kern w:val="0"/>
                <w:sz w:val="20"/>
                <w:szCs w:val="20"/>
              </w:rPr>
            </w:pPr>
          </w:p>
        </w:tc>
        <w:tc>
          <w:tcPr>
            <w:tcW w:w="851"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预决算信息公开性和完善性</w:t>
            </w:r>
          </w:p>
        </w:tc>
        <w:tc>
          <w:tcPr>
            <w:tcW w:w="567"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3118" w:type="dxa"/>
          </w:tcPr>
          <w:p w:rsidR="00A64D61" w:rsidRDefault="00A64D61" w:rsidP="00AE09D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预决算信息是指与部门预算、执行、决算、监督、绩效等管理相关的信息。</w:t>
            </w:r>
          </w:p>
        </w:tc>
        <w:tc>
          <w:tcPr>
            <w:tcW w:w="617" w:type="dxa"/>
            <w:shd w:val="clear" w:color="auto" w:fill="auto"/>
            <w:vAlign w:val="center"/>
          </w:tcPr>
          <w:p w:rsidR="00A64D61" w:rsidRPr="00742B8F" w:rsidRDefault="00A64D61" w:rsidP="00AE09DB">
            <w:pPr>
              <w:widowControl/>
              <w:jc w:val="center"/>
              <w:rPr>
                <w:rFonts w:ascii="宋体" w:hAnsi="宋体" w:cs="宋体"/>
                <w:color w:val="000000" w:themeColor="text1"/>
                <w:kern w:val="0"/>
                <w:sz w:val="24"/>
              </w:rPr>
            </w:pPr>
            <w:r w:rsidRPr="00742B8F">
              <w:rPr>
                <w:rFonts w:ascii="宋体" w:hAnsi="宋体" w:cs="宋体" w:hint="eastAsia"/>
                <w:color w:val="000000" w:themeColor="text1"/>
                <w:kern w:val="0"/>
                <w:sz w:val="24"/>
              </w:rPr>
              <w:t>4</w:t>
            </w:r>
          </w:p>
        </w:tc>
      </w:tr>
      <w:tr w:rsidR="00A64D61" w:rsidRPr="00742B8F" w:rsidTr="00AE09DB">
        <w:trPr>
          <w:trHeight w:val="1615"/>
          <w:jc w:val="center"/>
        </w:trPr>
        <w:tc>
          <w:tcPr>
            <w:tcW w:w="411" w:type="dxa"/>
            <w:vMerge/>
            <w:tcBorders>
              <w:top w:val="nil"/>
            </w:tcBorders>
            <w:vAlign w:val="center"/>
          </w:tcPr>
          <w:p w:rsidR="00A64D61" w:rsidRDefault="00A64D61" w:rsidP="00AE09DB">
            <w:pPr>
              <w:widowControl/>
              <w:jc w:val="left"/>
              <w:rPr>
                <w:rFonts w:ascii="仿宋_GB2312" w:eastAsia="仿宋_GB2312" w:hAnsi="宋体" w:cs="宋体"/>
                <w:kern w:val="0"/>
                <w:sz w:val="20"/>
                <w:szCs w:val="20"/>
              </w:rPr>
            </w:pPr>
          </w:p>
        </w:tc>
        <w:tc>
          <w:tcPr>
            <w:tcW w:w="429" w:type="dxa"/>
            <w:vMerge w:val="restart"/>
            <w:tcBorders>
              <w:top w:val="single" w:sz="4" w:space="0" w:color="auto"/>
              <w:bottom w:val="single" w:sz="4" w:space="0" w:color="auto"/>
              <w:right w:val="single" w:sz="4" w:space="0" w:color="auto"/>
            </w:tcBorders>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资产管理</w:t>
            </w:r>
          </w:p>
        </w:tc>
        <w:tc>
          <w:tcPr>
            <w:tcW w:w="567" w:type="dxa"/>
            <w:vMerge w:val="restart"/>
            <w:tcBorders>
              <w:top w:val="single" w:sz="4" w:space="0" w:color="auto"/>
              <w:left w:val="single" w:sz="4" w:space="0" w:color="auto"/>
              <w:bottom w:val="single" w:sz="4" w:space="0" w:color="auto"/>
            </w:tcBorders>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c>
          <w:tcPr>
            <w:tcW w:w="851"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管理  制度</w:t>
            </w:r>
            <w:r>
              <w:rPr>
                <w:rFonts w:ascii="仿宋_GB2312" w:eastAsia="仿宋_GB2312" w:hAnsi="宋体" w:cs="宋体" w:hint="eastAsia"/>
                <w:kern w:val="0"/>
                <w:sz w:val="20"/>
                <w:szCs w:val="20"/>
              </w:rPr>
              <w:br/>
              <w:t>健全性</w:t>
            </w:r>
          </w:p>
        </w:tc>
        <w:tc>
          <w:tcPr>
            <w:tcW w:w="567"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A64D61" w:rsidRDefault="00A64D61" w:rsidP="00AE09D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①已制定资产管理制度，1分；</w:t>
            </w:r>
            <w:r>
              <w:rPr>
                <w:rFonts w:ascii="仿宋_GB2312" w:eastAsia="仿宋_GB2312" w:hAnsi="宋体" w:cs="宋体" w:hint="eastAsia"/>
                <w:kern w:val="0"/>
                <w:sz w:val="20"/>
                <w:szCs w:val="20"/>
              </w:rPr>
              <w:br/>
              <w:t xml:space="preserve">②相关资产管理制度得到有效执行，1分。                                           </w:t>
            </w:r>
          </w:p>
        </w:tc>
        <w:tc>
          <w:tcPr>
            <w:tcW w:w="3472" w:type="dxa"/>
            <w:vAlign w:val="center"/>
          </w:tcPr>
          <w:p w:rsidR="00A64D61" w:rsidRDefault="00A64D61" w:rsidP="00AE09D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部门（单位）为加强资产管理，规范资产管理行为而制定的管理制度是否健全完整、用以反映和考核部门（单位）资产管理制度对完成主要职责或</w:t>
            </w:r>
            <w:r>
              <w:rPr>
                <w:rFonts w:ascii="仿宋_GB2312" w:eastAsia="仿宋_GB2312" w:hAnsi="宋体" w:cs="宋体" w:hint="eastAsia"/>
                <w:kern w:val="0"/>
                <w:sz w:val="20"/>
                <w:szCs w:val="20"/>
              </w:rPr>
              <w:lastRenderedPageBreak/>
              <w:t>促进社会发展的保障情况</w:t>
            </w:r>
          </w:p>
        </w:tc>
        <w:tc>
          <w:tcPr>
            <w:tcW w:w="617" w:type="dxa"/>
            <w:shd w:val="clear" w:color="auto" w:fill="auto"/>
            <w:vAlign w:val="center"/>
          </w:tcPr>
          <w:p w:rsidR="00A64D61" w:rsidRPr="00742B8F" w:rsidRDefault="00A64D61" w:rsidP="00AE09DB">
            <w:pPr>
              <w:widowControl/>
              <w:jc w:val="center"/>
              <w:rPr>
                <w:rFonts w:ascii="仿宋_GB2312" w:eastAsia="仿宋_GB2312" w:hAnsi="宋体" w:cs="宋体"/>
                <w:color w:val="000000" w:themeColor="text1"/>
                <w:kern w:val="0"/>
                <w:sz w:val="20"/>
                <w:szCs w:val="20"/>
              </w:rPr>
            </w:pPr>
            <w:r w:rsidRPr="00742B8F">
              <w:rPr>
                <w:rFonts w:ascii="仿宋_GB2312" w:eastAsia="仿宋_GB2312" w:hAnsi="宋体" w:cs="宋体" w:hint="eastAsia"/>
                <w:color w:val="000000" w:themeColor="text1"/>
                <w:kern w:val="0"/>
                <w:sz w:val="20"/>
                <w:szCs w:val="20"/>
              </w:rPr>
              <w:lastRenderedPageBreak/>
              <w:t>2</w:t>
            </w:r>
          </w:p>
        </w:tc>
      </w:tr>
      <w:tr w:rsidR="00A64D61" w:rsidRPr="00742B8F" w:rsidTr="00AE09DB">
        <w:trPr>
          <w:trHeight w:val="3603"/>
          <w:jc w:val="center"/>
        </w:trPr>
        <w:tc>
          <w:tcPr>
            <w:tcW w:w="411" w:type="dxa"/>
            <w:vMerge/>
            <w:tcBorders>
              <w:top w:val="nil"/>
            </w:tcBorders>
          </w:tcPr>
          <w:p w:rsidR="00A64D61" w:rsidRDefault="00A64D61" w:rsidP="00AE09DB">
            <w:pPr>
              <w:widowControl/>
              <w:jc w:val="left"/>
              <w:rPr>
                <w:rFonts w:ascii="仿宋_GB2312" w:eastAsia="仿宋_GB2312" w:hAnsi="宋体" w:cs="宋体"/>
                <w:kern w:val="0"/>
                <w:sz w:val="20"/>
                <w:szCs w:val="20"/>
              </w:rPr>
            </w:pPr>
          </w:p>
        </w:tc>
        <w:tc>
          <w:tcPr>
            <w:tcW w:w="429" w:type="dxa"/>
            <w:vMerge/>
            <w:tcBorders>
              <w:top w:val="single" w:sz="4" w:space="0" w:color="auto"/>
              <w:bottom w:val="single" w:sz="4" w:space="0" w:color="auto"/>
              <w:right w:val="single" w:sz="4" w:space="0" w:color="auto"/>
            </w:tcBorders>
          </w:tcPr>
          <w:p w:rsidR="00A64D61" w:rsidRDefault="00A64D61" w:rsidP="00AE09DB">
            <w:pPr>
              <w:widowControl/>
              <w:jc w:val="left"/>
              <w:rPr>
                <w:rFonts w:ascii="仿宋_GB2312" w:eastAsia="仿宋_GB2312" w:hAnsi="宋体" w:cs="宋体"/>
                <w:kern w:val="0"/>
                <w:sz w:val="20"/>
                <w:szCs w:val="20"/>
              </w:rPr>
            </w:pPr>
          </w:p>
        </w:tc>
        <w:tc>
          <w:tcPr>
            <w:tcW w:w="567" w:type="dxa"/>
            <w:vMerge/>
            <w:tcBorders>
              <w:top w:val="single" w:sz="4" w:space="0" w:color="auto"/>
              <w:left w:val="single" w:sz="4" w:space="0" w:color="auto"/>
              <w:bottom w:val="single" w:sz="4" w:space="0" w:color="auto"/>
            </w:tcBorders>
          </w:tcPr>
          <w:p w:rsidR="00A64D61" w:rsidRDefault="00A64D61" w:rsidP="00AE09DB">
            <w:pPr>
              <w:widowControl/>
              <w:jc w:val="left"/>
              <w:rPr>
                <w:rFonts w:ascii="仿宋_GB2312" w:eastAsia="仿宋_GB2312" w:hAnsi="宋体" w:cs="宋体"/>
                <w:kern w:val="0"/>
                <w:sz w:val="20"/>
                <w:szCs w:val="20"/>
              </w:rPr>
            </w:pPr>
          </w:p>
        </w:tc>
        <w:tc>
          <w:tcPr>
            <w:tcW w:w="851"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资产  管理</w:t>
            </w:r>
            <w:r>
              <w:rPr>
                <w:rFonts w:ascii="仿宋_GB2312" w:eastAsia="仿宋_GB2312" w:hAnsi="宋体" w:cs="宋体" w:hint="eastAsia"/>
                <w:kern w:val="0"/>
                <w:sz w:val="20"/>
                <w:szCs w:val="20"/>
              </w:rPr>
              <w:br/>
              <w:t>安全性</w:t>
            </w:r>
          </w:p>
        </w:tc>
        <w:tc>
          <w:tcPr>
            <w:tcW w:w="567"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16</w:t>
            </w:r>
          </w:p>
        </w:tc>
        <w:tc>
          <w:tcPr>
            <w:tcW w:w="3118" w:type="dxa"/>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①资产保存完整；②资产配置合理；③资产处置规范； </w:t>
            </w:r>
            <w:r>
              <w:rPr>
                <w:rFonts w:ascii="仿宋_GB2312" w:eastAsia="仿宋_GB2312" w:hAnsi="宋体" w:cs="宋体" w:hint="eastAsia"/>
                <w:kern w:val="0"/>
                <w:sz w:val="20"/>
                <w:szCs w:val="20"/>
              </w:rPr>
              <w:br/>
              <w:t>④资产账务管理合规，帐实帐卡、账账、账表（决算报表等）相符；⑤资产有偿使用及处置收入及时足额上缴；</w:t>
            </w:r>
            <w:r>
              <w:rPr>
                <w:rFonts w:ascii="仿宋_GB2312" w:eastAsia="仿宋_GB2312" w:hAnsi="仿宋" w:cs="仿宋" w:hint="eastAsia"/>
                <w:kern w:val="0"/>
                <w:sz w:val="20"/>
                <w:szCs w:val="20"/>
              </w:rPr>
              <w:t>⑥清查盘点：每年至少清查盘点一次；⑦产权明晰，权证齐全</w:t>
            </w:r>
            <w:r>
              <w:rPr>
                <w:rFonts w:ascii="仿宋_GB2312" w:eastAsia="仿宋_GB2312" w:hAnsi="宋体" w:cs="宋体" w:hint="eastAsia"/>
                <w:kern w:val="0"/>
                <w:sz w:val="20"/>
                <w:szCs w:val="20"/>
              </w:rPr>
              <w:t>；⑧按标准购置固定资产。</w:t>
            </w:r>
            <w:r>
              <w:rPr>
                <w:rFonts w:ascii="仿宋_GB2312" w:eastAsia="仿宋_GB2312" w:hAnsi="宋体" w:cs="宋体" w:hint="eastAsia"/>
                <w:kern w:val="0"/>
                <w:sz w:val="20"/>
                <w:szCs w:val="20"/>
              </w:rPr>
              <w:br/>
              <w:t>以上情况每出现一例不符合要求的扣2分；⑨未按时报送2018年行政事业单位资产报表的，每延迟一天，扣1分，扣完为止。</w:t>
            </w:r>
          </w:p>
        </w:tc>
        <w:tc>
          <w:tcPr>
            <w:tcW w:w="3472" w:type="dxa"/>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部门（单位）的资产是否保存完整，使用合规、配置合理、处置规范、收入及时足额上缴，用以反映和考核部门（单位）资产安全运行情况。</w:t>
            </w:r>
          </w:p>
        </w:tc>
        <w:tc>
          <w:tcPr>
            <w:tcW w:w="617" w:type="dxa"/>
            <w:shd w:val="clear" w:color="auto" w:fill="auto"/>
            <w:vAlign w:val="center"/>
          </w:tcPr>
          <w:p w:rsidR="00A64D61" w:rsidRPr="00742B8F" w:rsidRDefault="00A64D61" w:rsidP="00AE09DB">
            <w:pPr>
              <w:widowControl/>
              <w:jc w:val="center"/>
              <w:rPr>
                <w:rFonts w:ascii="仿宋_GB2312" w:eastAsia="仿宋_GB2312" w:hAnsi="宋体" w:cs="宋体"/>
                <w:color w:val="000000" w:themeColor="text1"/>
                <w:kern w:val="0"/>
                <w:sz w:val="20"/>
                <w:szCs w:val="20"/>
              </w:rPr>
            </w:pPr>
            <w:r w:rsidRPr="00742B8F">
              <w:rPr>
                <w:rFonts w:ascii="仿宋_GB2312" w:eastAsia="仿宋_GB2312" w:hAnsi="宋体" w:cs="宋体" w:hint="eastAsia"/>
                <w:color w:val="000000" w:themeColor="text1"/>
                <w:kern w:val="0"/>
                <w:sz w:val="20"/>
                <w:szCs w:val="20"/>
              </w:rPr>
              <w:t>16</w:t>
            </w:r>
          </w:p>
        </w:tc>
      </w:tr>
      <w:tr w:rsidR="00A64D61" w:rsidRPr="00742B8F" w:rsidTr="00AE09DB">
        <w:trPr>
          <w:trHeight w:val="738"/>
          <w:jc w:val="center"/>
        </w:trPr>
        <w:tc>
          <w:tcPr>
            <w:tcW w:w="411" w:type="dxa"/>
            <w:vMerge/>
            <w:tcBorders>
              <w:top w:val="nil"/>
            </w:tcBorders>
          </w:tcPr>
          <w:p w:rsidR="00A64D61" w:rsidRDefault="00A64D61" w:rsidP="00AE09DB">
            <w:pPr>
              <w:widowControl/>
              <w:jc w:val="left"/>
              <w:rPr>
                <w:rFonts w:ascii="仿宋_GB2312" w:eastAsia="仿宋_GB2312" w:hAnsi="宋体" w:cs="宋体"/>
                <w:kern w:val="0"/>
                <w:sz w:val="20"/>
                <w:szCs w:val="20"/>
              </w:rPr>
            </w:pPr>
          </w:p>
        </w:tc>
        <w:tc>
          <w:tcPr>
            <w:tcW w:w="429" w:type="dxa"/>
            <w:vMerge/>
            <w:tcBorders>
              <w:top w:val="single" w:sz="4" w:space="0" w:color="auto"/>
              <w:bottom w:val="single" w:sz="4" w:space="0" w:color="auto"/>
              <w:right w:val="single" w:sz="4" w:space="0" w:color="auto"/>
            </w:tcBorders>
          </w:tcPr>
          <w:p w:rsidR="00A64D61" w:rsidRDefault="00A64D61" w:rsidP="00AE09DB">
            <w:pPr>
              <w:widowControl/>
              <w:jc w:val="left"/>
              <w:rPr>
                <w:rFonts w:ascii="仿宋_GB2312" w:eastAsia="仿宋_GB2312" w:hAnsi="宋体" w:cs="宋体"/>
                <w:kern w:val="0"/>
                <w:sz w:val="20"/>
                <w:szCs w:val="20"/>
              </w:rPr>
            </w:pPr>
          </w:p>
        </w:tc>
        <w:tc>
          <w:tcPr>
            <w:tcW w:w="567" w:type="dxa"/>
            <w:vMerge/>
            <w:tcBorders>
              <w:top w:val="single" w:sz="4" w:space="0" w:color="auto"/>
              <w:left w:val="single" w:sz="4" w:space="0" w:color="auto"/>
              <w:bottom w:val="single" w:sz="4" w:space="0" w:color="auto"/>
            </w:tcBorders>
          </w:tcPr>
          <w:p w:rsidR="00A64D61" w:rsidRDefault="00A64D61" w:rsidP="00AE09DB">
            <w:pPr>
              <w:widowControl/>
              <w:jc w:val="left"/>
              <w:rPr>
                <w:rFonts w:ascii="仿宋_GB2312" w:eastAsia="仿宋_GB2312" w:hAnsi="宋体" w:cs="宋体"/>
                <w:kern w:val="0"/>
                <w:sz w:val="20"/>
                <w:szCs w:val="20"/>
              </w:rPr>
            </w:pPr>
          </w:p>
        </w:tc>
        <w:tc>
          <w:tcPr>
            <w:tcW w:w="851" w:type="dxa"/>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固定  资产</w:t>
            </w:r>
            <w:r>
              <w:rPr>
                <w:rFonts w:ascii="仿宋_GB2312" w:eastAsia="仿宋_GB2312" w:hAnsi="宋体" w:cs="宋体" w:hint="eastAsia"/>
                <w:kern w:val="0"/>
                <w:sz w:val="20"/>
                <w:szCs w:val="20"/>
              </w:rPr>
              <w:br/>
              <w:t>利用率</w:t>
            </w:r>
          </w:p>
        </w:tc>
        <w:tc>
          <w:tcPr>
            <w:tcW w:w="567"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tcPr>
          <w:p w:rsidR="00A64D61" w:rsidRDefault="00A64D61" w:rsidP="00AE09D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固定资产利用率,100%,2分,每低于一个百分点扣0.2分，扣完为止。</w:t>
            </w:r>
          </w:p>
        </w:tc>
        <w:tc>
          <w:tcPr>
            <w:tcW w:w="3472" w:type="dxa"/>
          </w:tcPr>
          <w:p w:rsidR="00A64D61" w:rsidRDefault="00A64D61" w:rsidP="00AE09D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固定资产利用率=（实际在用固定资产总额/所有固定资产总额）×100%</w:t>
            </w:r>
          </w:p>
        </w:tc>
        <w:tc>
          <w:tcPr>
            <w:tcW w:w="617" w:type="dxa"/>
            <w:shd w:val="clear" w:color="auto" w:fill="auto"/>
            <w:vAlign w:val="center"/>
          </w:tcPr>
          <w:p w:rsidR="00A64D61" w:rsidRPr="00742B8F" w:rsidRDefault="00A64D61" w:rsidP="00AE09DB">
            <w:pPr>
              <w:widowControl/>
              <w:jc w:val="center"/>
              <w:rPr>
                <w:rFonts w:ascii="仿宋_GB2312" w:eastAsia="仿宋_GB2312" w:hAnsi="宋体" w:cs="宋体"/>
                <w:color w:val="000000" w:themeColor="text1"/>
                <w:kern w:val="0"/>
                <w:sz w:val="20"/>
                <w:szCs w:val="20"/>
              </w:rPr>
            </w:pPr>
            <w:r w:rsidRPr="00742B8F">
              <w:rPr>
                <w:rFonts w:ascii="仿宋_GB2312" w:eastAsia="仿宋_GB2312" w:hAnsi="宋体" w:cs="宋体" w:hint="eastAsia"/>
                <w:color w:val="000000" w:themeColor="text1"/>
                <w:kern w:val="0"/>
                <w:sz w:val="20"/>
                <w:szCs w:val="20"/>
              </w:rPr>
              <w:t>2</w:t>
            </w:r>
          </w:p>
        </w:tc>
      </w:tr>
      <w:tr w:rsidR="00A64D61" w:rsidRPr="00742B8F" w:rsidTr="00AE09DB">
        <w:trPr>
          <w:trHeight w:val="1785"/>
          <w:jc w:val="center"/>
        </w:trPr>
        <w:tc>
          <w:tcPr>
            <w:tcW w:w="411" w:type="dxa"/>
            <w:vMerge/>
            <w:tcBorders>
              <w:top w:val="nil"/>
            </w:tcBorders>
          </w:tcPr>
          <w:p w:rsidR="00A64D61" w:rsidRDefault="00A64D61" w:rsidP="00AE09DB">
            <w:pPr>
              <w:widowControl/>
              <w:jc w:val="left"/>
              <w:rPr>
                <w:rFonts w:ascii="仿宋_GB2312" w:eastAsia="仿宋_GB2312" w:hAnsi="宋体" w:cs="宋体"/>
                <w:kern w:val="0"/>
                <w:sz w:val="20"/>
                <w:szCs w:val="20"/>
              </w:rPr>
            </w:pPr>
          </w:p>
        </w:tc>
        <w:tc>
          <w:tcPr>
            <w:tcW w:w="429" w:type="dxa"/>
            <w:vMerge w:val="restart"/>
            <w:tcBorders>
              <w:right w:val="single" w:sz="4" w:space="0" w:color="auto"/>
            </w:tcBorders>
            <w:vAlign w:val="center"/>
          </w:tcPr>
          <w:p w:rsidR="00A64D61" w:rsidRDefault="00A64D61" w:rsidP="00AE09DB">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绩效管理</w:t>
            </w:r>
          </w:p>
        </w:tc>
        <w:tc>
          <w:tcPr>
            <w:tcW w:w="567" w:type="dxa"/>
            <w:vMerge w:val="restart"/>
            <w:tcBorders>
              <w:top w:val="single" w:sz="4" w:space="0" w:color="auto"/>
              <w:left w:val="single" w:sz="4" w:space="0" w:color="auto"/>
            </w:tcBorders>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17</w:t>
            </w:r>
          </w:p>
        </w:tc>
        <w:tc>
          <w:tcPr>
            <w:tcW w:w="851"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目标 管理</w:t>
            </w:r>
          </w:p>
        </w:tc>
        <w:tc>
          <w:tcPr>
            <w:tcW w:w="567"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3118" w:type="dxa"/>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①本单位所有专项、项目资金均实行目标管理的，各2分,每少一个专项、项目的，扣1分，扣完为止；②编制并报送2020年度部门整体支出绩效目标的，2分；③在规定时间内报送、公开以上目标的，2分，否则不得分。</w:t>
            </w:r>
          </w:p>
        </w:tc>
        <w:tc>
          <w:tcPr>
            <w:tcW w:w="3472" w:type="dxa"/>
            <w:vAlign w:val="center"/>
          </w:tcPr>
          <w:p w:rsidR="00A64D61" w:rsidRDefault="00A64D61" w:rsidP="00AE09DB">
            <w:pPr>
              <w:widowControl/>
              <w:rPr>
                <w:rFonts w:ascii="仿宋_GB2312" w:eastAsia="仿宋_GB2312" w:hAnsi="宋体" w:cs="宋体"/>
                <w:kern w:val="0"/>
                <w:sz w:val="20"/>
                <w:szCs w:val="20"/>
              </w:rPr>
            </w:pPr>
          </w:p>
        </w:tc>
        <w:tc>
          <w:tcPr>
            <w:tcW w:w="617" w:type="dxa"/>
            <w:shd w:val="clear" w:color="auto" w:fill="auto"/>
            <w:vAlign w:val="center"/>
          </w:tcPr>
          <w:p w:rsidR="00A64D61" w:rsidRPr="00742B8F" w:rsidRDefault="00A64D61" w:rsidP="00AE09DB">
            <w:pPr>
              <w:widowControl/>
              <w:jc w:val="center"/>
              <w:rPr>
                <w:rFonts w:ascii="仿宋_GB2312" w:eastAsia="仿宋_GB2312" w:hAnsi="宋体" w:cs="宋体"/>
                <w:color w:val="000000" w:themeColor="text1"/>
                <w:kern w:val="0"/>
                <w:sz w:val="20"/>
                <w:szCs w:val="20"/>
              </w:rPr>
            </w:pPr>
            <w:r w:rsidRPr="00742B8F">
              <w:rPr>
                <w:rFonts w:ascii="仿宋_GB2312" w:eastAsia="仿宋_GB2312" w:hAnsi="宋体" w:cs="宋体" w:hint="eastAsia"/>
                <w:color w:val="000000" w:themeColor="text1"/>
                <w:kern w:val="0"/>
                <w:sz w:val="20"/>
                <w:szCs w:val="20"/>
              </w:rPr>
              <w:t>8</w:t>
            </w:r>
          </w:p>
        </w:tc>
      </w:tr>
      <w:tr w:rsidR="00A64D61" w:rsidRPr="00742B8F" w:rsidTr="00AE09DB">
        <w:trPr>
          <w:trHeight w:val="1786"/>
          <w:jc w:val="center"/>
        </w:trPr>
        <w:tc>
          <w:tcPr>
            <w:tcW w:w="411" w:type="dxa"/>
            <w:vMerge/>
            <w:tcBorders>
              <w:top w:val="nil"/>
              <w:bottom w:val="single" w:sz="4" w:space="0" w:color="auto"/>
            </w:tcBorders>
          </w:tcPr>
          <w:p w:rsidR="00A64D61" w:rsidRDefault="00A64D61" w:rsidP="00AE09DB">
            <w:pPr>
              <w:widowControl/>
              <w:jc w:val="left"/>
              <w:rPr>
                <w:rFonts w:ascii="仿宋_GB2312" w:eastAsia="仿宋_GB2312" w:hAnsi="宋体" w:cs="宋体"/>
                <w:kern w:val="0"/>
                <w:sz w:val="20"/>
                <w:szCs w:val="20"/>
              </w:rPr>
            </w:pPr>
          </w:p>
        </w:tc>
        <w:tc>
          <w:tcPr>
            <w:tcW w:w="429" w:type="dxa"/>
            <w:vMerge/>
            <w:tcBorders>
              <w:bottom w:val="single" w:sz="4" w:space="0" w:color="auto"/>
              <w:right w:val="single" w:sz="4" w:space="0" w:color="auto"/>
            </w:tcBorders>
          </w:tcPr>
          <w:p w:rsidR="00A64D61" w:rsidRDefault="00A64D61" w:rsidP="00AE09DB">
            <w:pPr>
              <w:jc w:val="left"/>
              <w:rPr>
                <w:rFonts w:ascii="仿宋_GB2312" w:eastAsia="仿宋_GB2312" w:hAnsi="宋体" w:cs="宋体"/>
                <w:kern w:val="0"/>
                <w:sz w:val="20"/>
                <w:szCs w:val="20"/>
              </w:rPr>
            </w:pPr>
          </w:p>
        </w:tc>
        <w:tc>
          <w:tcPr>
            <w:tcW w:w="567" w:type="dxa"/>
            <w:vMerge/>
            <w:tcBorders>
              <w:left w:val="single" w:sz="4" w:space="0" w:color="auto"/>
              <w:bottom w:val="single" w:sz="4" w:space="0" w:color="auto"/>
            </w:tcBorders>
          </w:tcPr>
          <w:p w:rsidR="00A64D61" w:rsidRDefault="00A64D61" w:rsidP="00AE09DB">
            <w:pPr>
              <w:widowControl/>
              <w:jc w:val="left"/>
              <w:rPr>
                <w:rFonts w:ascii="仿宋_GB2312" w:eastAsia="仿宋_GB2312" w:hAnsi="宋体" w:cs="宋体"/>
                <w:kern w:val="0"/>
                <w:sz w:val="20"/>
                <w:szCs w:val="20"/>
              </w:rPr>
            </w:pPr>
          </w:p>
        </w:tc>
        <w:tc>
          <w:tcPr>
            <w:tcW w:w="851"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绩效 评价</w:t>
            </w:r>
          </w:p>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管理</w:t>
            </w:r>
          </w:p>
        </w:tc>
        <w:tc>
          <w:tcPr>
            <w:tcW w:w="567"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w:t>
            </w:r>
          </w:p>
        </w:tc>
        <w:tc>
          <w:tcPr>
            <w:tcW w:w="3118" w:type="dxa"/>
          </w:tcPr>
          <w:p w:rsidR="00A64D61" w:rsidRDefault="00A64D61" w:rsidP="00AE09DB">
            <w:pPr>
              <w:widowControl/>
              <w:jc w:val="left"/>
              <w:rPr>
                <w:rFonts w:ascii="仿宋_GB2312" w:eastAsia="仿宋_GB2312" w:hAnsi="宋体" w:cs="宋体"/>
                <w:kern w:val="0"/>
                <w:sz w:val="20"/>
                <w:szCs w:val="20"/>
              </w:rPr>
            </w:pPr>
            <w:r>
              <w:rPr>
                <w:rFonts w:ascii="仿宋" w:eastAsia="仿宋" w:hAnsi="仿宋" w:cs="宋体" w:hint="eastAsia"/>
                <w:kern w:val="0"/>
                <w:sz w:val="20"/>
                <w:szCs w:val="20"/>
              </w:rPr>
              <w:t>①</w:t>
            </w:r>
            <w:r>
              <w:rPr>
                <w:rFonts w:ascii="仿宋_GB2312" w:eastAsia="仿宋_GB2312" w:hAnsi="宋体" w:cs="宋体" w:hint="eastAsia"/>
                <w:kern w:val="0"/>
                <w:sz w:val="20"/>
                <w:szCs w:val="20"/>
              </w:rPr>
              <w:t>开展2019年度专项资金绩效自评的，2分，每少一个专项资金的自评扣1分，扣完为止；</w:t>
            </w:r>
            <w:r>
              <w:rPr>
                <w:rFonts w:ascii="仿宋" w:eastAsia="仿宋" w:hAnsi="仿宋" w:cs="宋体" w:hint="eastAsia"/>
                <w:kern w:val="0"/>
                <w:sz w:val="20"/>
                <w:szCs w:val="20"/>
              </w:rPr>
              <w:t>②</w:t>
            </w:r>
            <w:r>
              <w:rPr>
                <w:rFonts w:ascii="仿宋_GB2312" w:eastAsia="仿宋_GB2312" w:hAnsi="宋体" w:cs="宋体" w:hint="eastAsia"/>
                <w:kern w:val="0"/>
                <w:sz w:val="20"/>
                <w:szCs w:val="20"/>
              </w:rPr>
              <w:t>开展2019年度已完工项目绩效自评的，2分，每少一个项目扣1分，扣完为止；</w:t>
            </w:r>
            <w:r>
              <w:rPr>
                <w:rFonts w:ascii="仿宋" w:eastAsia="仿宋" w:hAnsi="仿宋" w:cs="宋体" w:hint="eastAsia"/>
                <w:kern w:val="0"/>
                <w:sz w:val="20"/>
                <w:szCs w:val="20"/>
              </w:rPr>
              <w:t>③</w:t>
            </w:r>
            <w:r>
              <w:rPr>
                <w:rFonts w:ascii="仿宋_GB2312" w:eastAsia="仿宋_GB2312" w:hAnsi="宋体" w:cs="宋体" w:hint="eastAsia"/>
                <w:kern w:val="0"/>
                <w:sz w:val="20"/>
                <w:szCs w:val="20"/>
              </w:rPr>
              <w:t>开展2019年度部门整体支出绩效自评的，1分；</w:t>
            </w:r>
            <w:r>
              <w:rPr>
                <w:rFonts w:ascii="仿宋" w:eastAsia="仿宋" w:hAnsi="仿宋" w:cs="宋体" w:hint="eastAsia"/>
                <w:kern w:val="0"/>
                <w:sz w:val="20"/>
                <w:szCs w:val="20"/>
              </w:rPr>
              <w:t>④</w:t>
            </w:r>
            <w:r>
              <w:rPr>
                <w:rFonts w:ascii="仿宋_GB2312" w:eastAsia="仿宋_GB2312" w:hAnsi="宋体" w:cs="宋体" w:hint="eastAsia"/>
                <w:kern w:val="0"/>
                <w:sz w:val="20"/>
                <w:szCs w:val="20"/>
              </w:rPr>
              <w:t>在规定时间内报送、公开以上自评报告材料的，2分。</w:t>
            </w:r>
          </w:p>
        </w:tc>
        <w:tc>
          <w:tcPr>
            <w:tcW w:w="3472" w:type="dxa"/>
            <w:vAlign w:val="center"/>
          </w:tcPr>
          <w:p w:rsidR="00A64D61" w:rsidRDefault="00A64D61" w:rsidP="00AE09DB">
            <w:pPr>
              <w:widowControl/>
              <w:rPr>
                <w:rFonts w:ascii="仿宋_GB2312" w:eastAsia="仿宋_GB2312" w:hAnsi="宋体" w:cs="宋体"/>
                <w:kern w:val="0"/>
                <w:sz w:val="20"/>
                <w:szCs w:val="20"/>
              </w:rPr>
            </w:pPr>
          </w:p>
        </w:tc>
        <w:tc>
          <w:tcPr>
            <w:tcW w:w="617" w:type="dxa"/>
            <w:shd w:val="clear" w:color="auto" w:fill="auto"/>
            <w:vAlign w:val="center"/>
          </w:tcPr>
          <w:p w:rsidR="00A64D61" w:rsidRPr="00742B8F" w:rsidRDefault="00A64D61" w:rsidP="00AE09DB">
            <w:pPr>
              <w:widowControl/>
              <w:jc w:val="center"/>
              <w:rPr>
                <w:rFonts w:ascii="仿宋_GB2312" w:eastAsia="仿宋_GB2312" w:hAnsi="宋体" w:cs="宋体"/>
                <w:color w:val="000000" w:themeColor="text1"/>
                <w:kern w:val="0"/>
                <w:sz w:val="20"/>
                <w:szCs w:val="20"/>
              </w:rPr>
            </w:pPr>
            <w:r w:rsidRPr="00742B8F">
              <w:rPr>
                <w:rFonts w:ascii="仿宋_GB2312" w:eastAsia="仿宋_GB2312" w:hAnsi="宋体" w:cs="宋体" w:hint="eastAsia"/>
                <w:color w:val="000000" w:themeColor="text1"/>
                <w:kern w:val="0"/>
                <w:sz w:val="20"/>
                <w:szCs w:val="20"/>
              </w:rPr>
              <w:t>7</w:t>
            </w:r>
          </w:p>
        </w:tc>
      </w:tr>
      <w:tr w:rsidR="00A64D61" w:rsidRPr="00742B8F" w:rsidTr="00AE09DB">
        <w:trPr>
          <w:trHeight w:val="1375"/>
          <w:jc w:val="center"/>
        </w:trPr>
        <w:tc>
          <w:tcPr>
            <w:tcW w:w="411" w:type="dxa"/>
            <w:tcBorders>
              <w:top w:val="nil"/>
              <w:bottom w:val="single" w:sz="4" w:space="0" w:color="auto"/>
            </w:tcBorders>
          </w:tcPr>
          <w:p w:rsidR="00A64D61" w:rsidRDefault="00A64D61" w:rsidP="00AE09DB">
            <w:pPr>
              <w:widowControl/>
              <w:jc w:val="left"/>
              <w:rPr>
                <w:rFonts w:ascii="仿宋_GB2312" w:eastAsia="仿宋_GB2312" w:hAnsi="宋体" w:cs="宋体"/>
                <w:kern w:val="0"/>
                <w:sz w:val="20"/>
                <w:szCs w:val="20"/>
              </w:rPr>
            </w:pPr>
          </w:p>
        </w:tc>
        <w:tc>
          <w:tcPr>
            <w:tcW w:w="429" w:type="dxa"/>
            <w:tcBorders>
              <w:top w:val="nil"/>
              <w:bottom w:val="single" w:sz="4" w:space="0" w:color="auto"/>
              <w:right w:val="single" w:sz="4" w:space="0" w:color="auto"/>
            </w:tcBorders>
          </w:tcPr>
          <w:p w:rsidR="00A64D61" w:rsidRDefault="00A64D61" w:rsidP="00AE09DB">
            <w:pPr>
              <w:jc w:val="left"/>
              <w:rPr>
                <w:rFonts w:ascii="仿宋_GB2312" w:eastAsia="仿宋_GB2312" w:hAnsi="宋体" w:cs="宋体"/>
                <w:kern w:val="0"/>
                <w:sz w:val="20"/>
                <w:szCs w:val="20"/>
              </w:rPr>
            </w:pPr>
          </w:p>
        </w:tc>
        <w:tc>
          <w:tcPr>
            <w:tcW w:w="567" w:type="dxa"/>
            <w:tcBorders>
              <w:top w:val="nil"/>
              <w:left w:val="single" w:sz="4" w:space="0" w:color="auto"/>
              <w:bottom w:val="single" w:sz="4" w:space="0" w:color="auto"/>
            </w:tcBorders>
          </w:tcPr>
          <w:p w:rsidR="00A64D61" w:rsidRDefault="00A64D61" w:rsidP="00AE09DB">
            <w:pPr>
              <w:widowControl/>
              <w:jc w:val="left"/>
              <w:rPr>
                <w:rFonts w:ascii="仿宋_GB2312" w:eastAsia="仿宋_GB2312" w:hAnsi="宋体" w:cs="宋体"/>
                <w:kern w:val="0"/>
                <w:sz w:val="20"/>
                <w:szCs w:val="20"/>
              </w:rPr>
            </w:pPr>
          </w:p>
        </w:tc>
        <w:tc>
          <w:tcPr>
            <w:tcW w:w="851"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评价 结果 运用</w:t>
            </w:r>
          </w:p>
        </w:tc>
        <w:tc>
          <w:tcPr>
            <w:tcW w:w="567"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A64D61" w:rsidRDefault="00A64D61" w:rsidP="00AE09DB">
            <w:pPr>
              <w:widowControl/>
              <w:rPr>
                <w:rFonts w:ascii="仿宋" w:eastAsia="仿宋" w:hAnsi="仿宋" w:cs="宋体"/>
                <w:sz w:val="20"/>
                <w:szCs w:val="20"/>
              </w:rPr>
            </w:pPr>
            <w:r>
              <w:rPr>
                <w:rFonts w:ascii="仿宋_GB2312" w:eastAsia="仿宋_GB2312" w:hAnsi="宋体" w:cs="宋体" w:hint="eastAsia"/>
                <w:kern w:val="0"/>
                <w:sz w:val="20"/>
                <w:szCs w:val="20"/>
              </w:rPr>
              <w:t>根据2019年度财政重点绩效评价和单位自评情况，向财政报送整改结果并整改到位的，2分，否则不得分。</w:t>
            </w:r>
          </w:p>
        </w:tc>
        <w:tc>
          <w:tcPr>
            <w:tcW w:w="3472" w:type="dxa"/>
            <w:vAlign w:val="center"/>
          </w:tcPr>
          <w:p w:rsidR="00A64D61" w:rsidRDefault="00A64D61" w:rsidP="00AE09DB">
            <w:pPr>
              <w:rPr>
                <w:rFonts w:ascii="仿宋_GB2312" w:eastAsia="仿宋_GB2312" w:hAnsi="宋体" w:cs="宋体"/>
                <w:kern w:val="0"/>
                <w:sz w:val="20"/>
                <w:szCs w:val="20"/>
              </w:rPr>
            </w:pPr>
          </w:p>
        </w:tc>
        <w:tc>
          <w:tcPr>
            <w:tcW w:w="617" w:type="dxa"/>
            <w:shd w:val="clear" w:color="auto" w:fill="auto"/>
            <w:vAlign w:val="center"/>
          </w:tcPr>
          <w:p w:rsidR="00A64D61" w:rsidRPr="00742B8F" w:rsidRDefault="00A64D61" w:rsidP="00AE09DB">
            <w:pPr>
              <w:widowControl/>
              <w:jc w:val="center"/>
              <w:rPr>
                <w:rFonts w:ascii="仿宋_GB2312" w:eastAsia="仿宋_GB2312" w:hAnsi="宋体" w:cs="宋体"/>
                <w:color w:val="000000" w:themeColor="text1"/>
                <w:kern w:val="0"/>
                <w:sz w:val="20"/>
                <w:szCs w:val="20"/>
              </w:rPr>
            </w:pPr>
            <w:r w:rsidRPr="00742B8F">
              <w:rPr>
                <w:rFonts w:ascii="仿宋_GB2312" w:eastAsia="仿宋_GB2312" w:hAnsi="宋体" w:cs="宋体" w:hint="eastAsia"/>
                <w:color w:val="000000" w:themeColor="text1"/>
                <w:kern w:val="0"/>
                <w:sz w:val="20"/>
                <w:szCs w:val="20"/>
              </w:rPr>
              <w:t>2</w:t>
            </w:r>
          </w:p>
        </w:tc>
      </w:tr>
      <w:tr w:rsidR="00A64D61" w:rsidRPr="00742B8F" w:rsidTr="00AE09DB">
        <w:trPr>
          <w:trHeight w:val="1615"/>
          <w:jc w:val="center"/>
        </w:trPr>
        <w:tc>
          <w:tcPr>
            <w:tcW w:w="411" w:type="dxa"/>
            <w:vMerge w:val="restart"/>
            <w:tcBorders>
              <w:top w:val="single" w:sz="4" w:space="0" w:color="auto"/>
            </w:tcBorders>
            <w:textDirection w:val="tbRlV"/>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产   出</w:t>
            </w:r>
          </w:p>
        </w:tc>
        <w:tc>
          <w:tcPr>
            <w:tcW w:w="429" w:type="dxa"/>
            <w:vMerge w:val="restart"/>
            <w:tcBorders>
              <w:top w:val="single" w:sz="4" w:space="0" w:color="auto"/>
              <w:right w:val="single" w:sz="4" w:space="0" w:color="auto"/>
            </w:tcBorders>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职责履行</w:t>
            </w:r>
          </w:p>
        </w:tc>
        <w:tc>
          <w:tcPr>
            <w:tcW w:w="567" w:type="dxa"/>
            <w:vMerge w:val="restart"/>
            <w:tcBorders>
              <w:top w:val="single" w:sz="4" w:space="0" w:color="auto"/>
              <w:left w:val="single" w:sz="4" w:space="0" w:color="auto"/>
            </w:tcBorders>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851"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重点　工作　完成率</w:t>
            </w:r>
          </w:p>
        </w:tc>
        <w:tc>
          <w:tcPr>
            <w:tcW w:w="567"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该项得分=重点工作完成率×2</w:t>
            </w:r>
          </w:p>
        </w:tc>
        <w:tc>
          <w:tcPr>
            <w:tcW w:w="3472" w:type="dxa"/>
            <w:vAlign w:val="center"/>
          </w:tcPr>
          <w:p w:rsidR="00A64D61" w:rsidRDefault="00A64D61" w:rsidP="00AE09DB">
            <w:pPr>
              <w:autoSpaceDN w:val="0"/>
              <w:jc w:val="left"/>
              <w:textAlignment w:val="center"/>
              <w:rPr>
                <w:rFonts w:ascii="仿宋_GB2312" w:eastAsia="仿宋_GB2312" w:hAnsi="宋体" w:cs="宋体"/>
                <w:kern w:val="0"/>
                <w:sz w:val="20"/>
                <w:szCs w:val="20"/>
              </w:rPr>
            </w:pPr>
            <w:r>
              <w:rPr>
                <w:rFonts w:ascii="仿宋_GB2312" w:eastAsia="仿宋_GB2312" w:hAnsi="宋体" w:cs="宋体" w:hint="eastAsia"/>
                <w:kern w:val="0"/>
                <w:sz w:val="20"/>
                <w:szCs w:val="20"/>
              </w:rPr>
              <w:t>重点工作为市政府确定的为民办实事和部门重点工程与重点工作。</w:t>
            </w:r>
          </w:p>
        </w:tc>
        <w:tc>
          <w:tcPr>
            <w:tcW w:w="617" w:type="dxa"/>
            <w:shd w:val="clear" w:color="auto" w:fill="auto"/>
            <w:vAlign w:val="center"/>
          </w:tcPr>
          <w:p w:rsidR="00A64D61" w:rsidRPr="00742B8F" w:rsidRDefault="00A64D61" w:rsidP="00AE09DB">
            <w:pPr>
              <w:widowControl/>
              <w:jc w:val="center"/>
              <w:rPr>
                <w:rFonts w:ascii="仿宋_GB2312" w:eastAsia="仿宋_GB2312" w:hAnsi="宋体" w:cs="宋体"/>
                <w:color w:val="000000" w:themeColor="text1"/>
                <w:kern w:val="0"/>
                <w:sz w:val="20"/>
                <w:szCs w:val="20"/>
              </w:rPr>
            </w:pPr>
            <w:r w:rsidRPr="00742B8F">
              <w:rPr>
                <w:rFonts w:ascii="仿宋_GB2312" w:eastAsia="仿宋_GB2312" w:hAnsi="宋体" w:cs="宋体" w:hint="eastAsia"/>
                <w:color w:val="000000" w:themeColor="text1"/>
                <w:kern w:val="0"/>
                <w:sz w:val="20"/>
                <w:szCs w:val="20"/>
              </w:rPr>
              <w:t>2</w:t>
            </w:r>
          </w:p>
        </w:tc>
      </w:tr>
      <w:tr w:rsidR="00A64D61" w:rsidRPr="00742B8F" w:rsidTr="00AE09DB">
        <w:trPr>
          <w:trHeight w:val="978"/>
          <w:jc w:val="center"/>
        </w:trPr>
        <w:tc>
          <w:tcPr>
            <w:tcW w:w="411" w:type="dxa"/>
            <w:vMerge/>
            <w:tcBorders>
              <w:bottom w:val="single" w:sz="4" w:space="0" w:color="auto"/>
            </w:tcBorders>
            <w:textDirection w:val="tbRlV"/>
          </w:tcPr>
          <w:p w:rsidR="00A64D61" w:rsidRDefault="00A64D61" w:rsidP="00AE09DB">
            <w:pPr>
              <w:widowControl/>
              <w:jc w:val="center"/>
              <w:rPr>
                <w:rFonts w:ascii="仿宋_GB2312" w:eastAsia="仿宋_GB2312" w:hAnsi="宋体" w:cs="宋体"/>
                <w:kern w:val="0"/>
                <w:sz w:val="20"/>
                <w:szCs w:val="20"/>
              </w:rPr>
            </w:pPr>
          </w:p>
        </w:tc>
        <w:tc>
          <w:tcPr>
            <w:tcW w:w="429" w:type="dxa"/>
            <w:vMerge/>
            <w:tcBorders>
              <w:bottom w:val="single" w:sz="4" w:space="0" w:color="auto"/>
              <w:right w:val="single" w:sz="4" w:space="0" w:color="auto"/>
            </w:tcBorders>
          </w:tcPr>
          <w:p w:rsidR="00A64D61" w:rsidRDefault="00A64D61" w:rsidP="00AE09DB">
            <w:pPr>
              <w:widowControl/>
              <w:jc w:val="center"/>
              <w:rPr>
                <w:rFonts w:ascii="仿宋_GB2312" w:eastAsia="仿宋_GB2312" w:hAnsi="宋体" w:cs="宋体"/>
                <w:kern w:val="0"/>
                <w:sz w:val="20"/>
                <w:szCs w:val="20"/>
              </w:rPr>
            </w:pPr>
          </w:p>
        </w:tc>
        <w:tc>
          <w:tcPr>
            <w:tcW w:w="567" w:type="dxa"/>
            <w:vMerge/>
            <w:tcBorders>
              <w:left w:val="single" w:sz="4" w:space="0" w:color="auto"/>
              <w:bottom w:val="single" w:sz="4" w:space="0" w:color="auto"/>
            </w:tcBorders>
          </w:tcPr>
          <w:p w:rsidR="00A64D61" w:rsidRDefault="00A64D61" w:rsidP="00AE09DB">
            <w:pPr>
              <w:widowControl/>
              <w:jc w:val="center"/>
              <w:rPr>
                <w:rFonts w:ascii="仿宋_GB2312" w:eastAsia="仿宋_GB2312" w:hAnsi="宋体" w:cs="宋体"/>
                <w:kern w:val="0"/>
                <w:sz w:val="20"/>
                <w:szCs w:val="20"/>
              </w:rPr>
            </w:pPr>
          </w:p>
        </w:tc>
        <w:tc>
          <w:tcPr>
            <w:tcW w:w="851" w:type="dxa"/>
            <w:vAlign w:val="center"/>
          </w:tcPr>
          <w:p w:rsidR="00A64D61" w:rsidRDefault="00A64D61" w:rsidP="00AE09DB">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工作</w:t>
            </w:r>
          </w:p>
          <w:p w:rsidR="00A64D61" w:rsidRDefault="00A64D61" w:rsidP="00AE09DB">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质量</w:t>
            </w:r>
          </w:p>
        </w:tc>
        <w:tc>
          <w:tcPr>
            <w:tcW w:w="567" w:type="dxa"/>
            <w:vAlign w:val="center"/>
          </w:tcPr>
          <w:p w:rsidR="00A64D61" w:rsidRDefault="00A64D61" w:rsidP="00AE09DB">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118" w:type="dxa"/>
          </w:tcPr>
          <w:p w:rsidR="00A64D61" w:rsidRDefault="00A64D61" w:rsidP="00AE09DB">
            <w:pPr>
              <w:jc w:val="left"/>
              <w:rPr>
                <w:rFonts w:ascii="仿宋_GB2312" w:eastAsia="仿宋_GB2312" w:hAnsi="宋体" w:cs="宋体"/>
                <w:kern w:val="0"/>
                <w:sz w:val="20"/>
                <w:szCs w:val="20"/>
              </w:rPr>
            </w:pPr>
            <w:r>
              <w:rPr>
                <w:rFonts w:ascii="仿宋_GB2312" w:eastAsia="仿宋_GB2312" w:hAnsi="宋体" w:cs="宋体" w:hint="eastAsia"/>
                <w:kern w:val="0"/>
                <w:sz w:val="20"/>
                <w:szCs w:val="20"/>
              </w:rPr>
              <w:t>以绩效考核评估结果为标准，优秀，计3分；良好，2分；合格，1分；不合格，0分。</w:t>
            </w:r>
          </w:p>
        </w:tc>
        <w:tc>
          <w:tcPr>
            <w:tcW w:w="3472" w:type="dxa"/>
            <w:vAlign w:val="center"/>
          </w:tcPr>
          <w:p w:rsidR="00A64D61" w:rsidRDefault="00A64D61" w:rsidP="00AE09DB">
            <w:pPr>
              <w:autoSpaceDN w:val="0"/>
              <w:jc w:val="left"/>
              <w:textAlignment w:val="center"/>
              <w:rPr>
                <w:rFonts w:ascii="仿宋_GB2312" w:eastAsia="仿宋_GB2312" w:hAnsi="宋体" w:cs="宋体"/>
                <w:kern w:val="0"/>
                <w:sz w:val="20"/>
                <w:szCs w:val="20"/>
              </w:rPr>
            </w:pPr>
          </w:p>
        </w:tc>
        <w:tc>
          <w:tcPr>
            <w:tcW w:w="617" w:type="dxa"/>
            <w:shd w:val="clear" w:color="auto" w:fill="auto"/>
            <w:vAlign w:val="center"/>
          </w:tcPr>
          <w:p w:rsidR="00A64D61" w:rsidRPr="00742B8F" w:rsidRDefault="00A64D61" w:rsidP="00AE09DB">
            <w:pPr>
              <w:jc w:val="center"/>
              <w:rPr>
                <w:rFonts w:ascii="仿宋_GB2312" w:eastAsia="仿宋_GB2312" w:hAnsi="宋体" w:cs="宋体"/>
                <w:color w:val="000000" w:themeColor="text1"/>
                <w:kern w:val="0"/>
                <w:sz w:val="20"/>
                <w:szCs w:val="20"/>
              </w:rPr>
            </w:pPr>
            <w:r w:rsidRPr="00742B8F">
              <w:rPr>
                <w:rFonts w:ascii="仿宋_GB2312" w:eastAsia="仿宋_GB2312" w:hAnsi="宋体" w:cs="宋体" w:hint="eastAsia"/>
                <w:color w:val="000000" w:themeColor="text1"/>
                <w:kern w:val="0"/>
                <w:sz w:val="20"/>
                <w:szCs w:val="20"/>
              </w:rPr>
              <w:t>2</w:t>
            </w:r>
          </w:p>
        </w:tc>
      </w:tr>
      <w:tr w:rsidR="00A64D61" w:rsidRPr="00742B8F" w:rsidTr="00AE09DB">
        <w:trPr>
          <w:trHeight w:val="667"/>
          <w:jc w:val="center"/>
        </w:trPr>
        <w:tc>
          <w:tcPr>
            <w:tcW w:w="411" w:type="dxa"/>
            <w:vMerge w:val="restart"/>
            <w:tcBorders>
              <w:top w:val="single" w:sz="4" w:space="0" w:color="auto"/>
              <w:bottom w:val="single" w:sz="4" w:space="0" w:color="auto"/>
            </w:tcBorders>
            <w:textDirection w:val="tbRlV"/>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效  果</w:t>
            </w:r>
          </w:p>
        </w:tc>
        <w:tc>
          <w:tcPr>
            <w:tcW w:w="429" w:type="dxa"/>
            <w:vMerge w:val="restart"/>
            <w:tcBorders>
              <w:top w:val="single" w:sz="4" w:space="0" w:color="auto"/>
              <w:bottom w:val="single" w:sz="4" w:space="0" w:color="auto"/>
            </w:tcBorders>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履职效益</w:t>
            </w:r>
          </w:p>
        </w:tc>
        <w:tc>
          <w:tcPr>
            <w:tcW w:w="567" w:type="dxa"/>
            <w:vMerge w:val="restart"/>
            <w:tcBorders>
              <w:top w:val="single" w:sz="4" w:space="0" w:color="auto"/>
              <w:bottom w:val="single" w:sz="4" w:space="0" w:color="auto"/>
            </w:tcBorders>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851"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经济  效益</w:t>
            </w:r>
          </w:p>
        </w:tc>
        <w:tc>
          <w:tcPr>
            <w:tcW w:w="567" w:type="dxa"/>
            <w:vMerge w:val="restart"/>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6590" w:type="dxa"/>
            <w:gridSpan w:val="2"/>
            <w:vMerge w:val="restart"/>
            <w:vAlign w:val="center"/>
          </w:tcPr>
          <w:p w:rsidR="00A64D61" w:rsidRDefault="00A64D61" w:rsidP="00AE09D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此三项指标可根据部门实际并结合2020年度部门整体支出绩效目标设立情况有选择的进行评价。</w:t>
            </w:r>
          </w:p>
        </w:tc>
        <w:tc>
          <w:tcPr>
            <w:tcW w:w="617" w:type="dxa"/>
            <w:vMerge w:val="restart"/>
            <w:shd w:val="clear" w:color="auto" w:fill="auto"/>
            <w:vAlign w:val="center"/>
          </w:tcPr>
          <w:p w:rsidR="00A64D61" w:rsidRPr="00742B8F" w:rsidRDefault="00A64D61" w:rsidP="00AE09DB">
            <w:pPr>
              <w:widowControl/>
              <w:jc w:val="center"/>
              <w:rPr>
                <w:rFonts w:ascii="仿宋_GB2312" w:eastAsia="仿宋_GB2312" w:hAnsi="宋体" w:cs="宋体"/>
                <w:color w:val="000000" w:themeColor="text1"/>
                <w:kern w:val="0"/>
                <w:sz w:val="20"/>
                <w:szCs w:val="20"/>
              </w:rPr>
            </w:pPr>
            <w:r w:rsidRPr="00742B8F">
              <w:rPr>
                <w:rFonts w:ascii="仿宋_GB2312" w:eastAsia="仿宋_GB2312" w:hAnsi="宋体" w:cs="宋体" w:hint="eastAsia"/>
                <w:color w:val="000000" w:themeColor="text1"/>
                <w:kern w:val="0"/>
                <w:sz w:val="20"/>
                <w:szCs w:val="20"/>
              </w:rPr>
              <w:t>2</w:t>
            </w:r>
          </w:p>
        </w:tc>
      </w:tr>
      <w:tr w:rsidR="00A64D61" w:rsidRPr="00742B8F" w:rsidTr="00AE09DB">
        <w:trPr>
          <w:trHeight w:val="702"/>
          <w:jc w:val="center"/>
        </w:trPr>
        <w:tc>
          <w:tcPr>
            <w:tcW w:w="411" w:type="dxa"/>
            <w:vMerge/>
            <w:tcBorders>
              <w:top w:val="single" w:sz="4" w:space="0" w:color="auto"/>
              <w:bottom w:val="single" w:sz="4" w:space="0" w:color="auto"/>
            </w:tcBorders>
            <w:vAlign w:val="center"/>
          </w:tcPr>
          <w:p w:rsidR="00A64D61" w:rsidRDefault="00A64D61" w:rsidP="00AE09DB">
            <w:pPr>
              <w:widowControl/>
              <w:jc w:val="left"/>
              <w:rPr>
                <w:rFonts w:ascii="仿宋_GB2312" w:eastAsia="仿宋_GB2312" w:hAnsi="宋体" w:cs="宋体"/>
                <w:kern w:val="0"/>
                <w:sz w:val="20"/>
                <w:szCs w:val="20"/>
              </w:rPr>
            </w:pPr>
          </w:p>
        </w:tc>
        <w:tc>
          <w:tcPr>
            <w:tcW w:w="429" w:type="dxa"/>
            <w:vMerge/>
            <w:tcBorders>
              <w:top w:val="single" w:sz="4" w:space="0" w:color="auto"/>
              <w:bottom w:val="single" w:sz="4" w:space="0" w:color="auto"/>
            </w:tcBorders>
            <w:vAlign w:val="center"/>
          </w:tcPr>
          <w:p w:rsidR="00A64D61" w:rsidRDefault="00A64D61" w:rsidP="00AE09DB">
            <w:pPr>
              <w:widowControl/>
              <w:jc w:val="left"/>
              <w:rPr>
                <w:rFonts w:ascii="仿宋_GB2312" w:eastAsia="仿宋_GB2312" w:hAnsi="宋体" w:cs="宋体"/>
                <w:kern w:val="0"/>
                <w:sz w:val="20"/>
                <w:szCs w:val="20"/>
              </w:rPr>
            </w:pPr>
          </w:p>
        </w:tc>
        <w:tc>
          <w:tcPr>
            <w:tcW w:w="567" w:type="dxa"/>
            <w:vMerge/>
            <w:tcBorders>
              <w:top w:val="single" w:sz="4" w:space="0" w:color="auto"/>
              <w:bottom w:val="single" w:sz="4" w:space="0" w:color="auto"/>
            </w:tcBorders>
            <w:vAlign w:val="center"/>
          </w:tcPr>
          <w:p w:rsidR="00A64D61" w:rsidRDefault="00A64D61" w:rsidP="00AE09DB">
            <w:pPr>
              <w:widowControl/>
              <w:jc w:val="left"/>
              <w:rPr>
                <w:rFonts w:ascii="仿宋_GB2312" w:eastAsia="仿宋_GB2312" w:hAnsi="宋体" w:cs="宋体"/>
                <w:kern w:val="0"/>
                <w:sz w:val="20"/>
                <w:szCs w:val="20"/>
              </w:rPr>
            </w:pPr>
          </w:p>
        </w:tc>
        <w:tc>
          <w:tcPr>
            <w:tcW w:w="851"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社会  效益</w:t>
            </w:r>
          </w:p>
        </w:tc>
        <w:tc>
          <w:tcPr>
            <w:tcW w:w="567" w:type="dxa"/>
            <w:vMerge/>
            <w:vAlign w:val="center"/>
          </w:tcPr>
          <w:p w:rsidR="00A64D61" w:rsidRDefault="00A64D61" w:rsidP="00AE09DB">
            <w:pPr>
              <w:widowControl/>
              <w:jc w:val="left"/>
              <w:rPr>
                <w:rFonts w:ascii="仿宋_GB2312" w:eastAsia="仿宋_GB2312" w:hAnsi="宋体" w:cs="宋体"/>
                <w:kern w:val="0"/>
                <w:sz w:val="20"/>
                <w:szCs w:val="20"/>
              </w:rPr>
            </w:pPr>
          </w:p>
        </w:tc>
        <w:tc>
          <w:tcPr>
            <w:tcW w:w="6590" w:type="dxa"/>
            <w:gridSpan w:val="2"/>
            <w:vMerge/>
            <w:vAlign w:val="center"/>
          </w:tcPr>
          <w:p w:rsidR="00A64D61" w:rsidRDefault="00A64D61" w:rsidP="00AE09DB">
            <w:pPr>
              <w:widowControl/>
              <w:jc w:val="left"/>
              <w:rPr>
                <w:rFonts w:ascii="仿宋_GB2312" w:eastAsia="仿宋_GB2312" w:hAnsi="宋体" w:cs="宋体"/>
                <w:kern w:val="0"/>
                <w:sz w:val="20"/>
                <w:szCs w:val="20"/>
              </w:rPr>
            </w:pPr>
          </w:p>
        </w:tc>
        <w:tc>
          <w:tcPr>
            <w:tcW w:w="617" w:type="dxa"/>
            <w:vMerge/>
            <w:shd w:val="clear" w:color="auto" w:fill="auto"/>
            <w:vAlign w:val="center"/>
          </w:tcPr>
          <w:p w:rsidR="00A64D61" w:rsidRPr="00742B8F" w:rsidRDefault="00A64D61" w:rsidP="00AE09DB">
            <w:pPr>
              <w:widowControl/>
              <w:jc w:val="center"/>
              <w:rPr>
                <w:rFonts w:ascii="仿宋_GB2312" w:eastAsia="仿宋_GB2312" w:hAnsi="宋体" w:cs="宋体"/>
                <w:color w:val="000000" w:themeColor="text1"/>
                <w:kern w:val="0"/>
                <w:sz w:val="20"/>
                <w:szCs w:val="20"/>
              </w:rPr>
            </w:pPr>
          </w:p>
        </w:tc>
      </w:tr>
      <w:tr w:rsidR="00A64D61" w:rsidRPr="00742B8F" w:rsidTr="00AE09DB">
        <w:trPr>
          <w:trHeight w:val="738"/>
          <w:jc w:val="center"/>
        </w:trPr>
        <w:tc>
          <w:tcPr>
            <w:tcW w:w="411" w:type="dxa"/>
            <w:vMerge/>
            <w:tcBorders>
              <w:top w:val="single" w:sz="4" w:space="0" w:color="auto"/>
              <w:bottom w:val="single" w:sz="4" w:space="0" w:color="auto"/>
            </w:tcBorders>
            <w:vAlign w:val="center"/>
          </w:tcPr>
          <w:p w:rsidR="00A64D61" w:rsidRDefault="00A64D61" w:rsidP="00AE09DB">
            <w:pPr>
              <w:widowControl/>
              <w:jc w:val="left"/>
              <w:rPr>
                <w:rFonts w:ascii="仿宋_GB2312" w:eastAsia="仿宋_GB2312" w:hAnsi="宋体" w:cs="宋体"/>
                <w:kern w:val="0"/>
                <w:sz w:val="20"/>
                <w:szCs w:val="20"/>
              </w:rPr>
            </w:pPr>
          </w:p>
        </w:tc>
        <w:tc>
          <w:tcPr>
            <w:tcW w:w="429" w:type="dxa"/>
            <w:vMerge/>
            <w:tcBorders>
              <w:top w:val="single" w:sz="4" w:space="0" w:color="auto"/>
              <w:bottom w:val="single" w:sz="4" w:space="0" w:color="auto"/>
            </w:tcBorders>
            <w:vAlign w:val="center"/>
          </w:tcPr>
          <w:p w:rsidR="00A64D61" w:rsidRDefault="00A64D61" w:rsidP="00AE09DB">
            <w:pPr>
              <w:widowControl/>
              <w:jc w:val="left"/>
              <w:rPr>
                <w:rFonts w:ascii="仿宋_GB2312" w:eastAsia="仿宋_GB2312" w:hAnsi="宋体" w:cs="宋体"/>
                <w:kern w:val="0"/>
                <w:sz w:val="20"/>
                <w:szCs w:val="20"/>
              </w:rPr>
            </w:pPr>
          </w:p>
        </w:tc>
        <w:tc>
          <w:tcPr>
            <w:tcW w:w="567" w:type="dxa"/>
            <w:vMerge/>
            <w:tcBorders>
              <w:top w:val="single" w:sz="4" w:space="0" w:color="auto"/>
              <w:bottom w:val="single" w:sz="4" w:space="0" w:color="auto"/>
            </w:tcBorders>
            <w:vAlign w:val="center"/>
          </w:tcPr>
          <w:p w:rsidR="00A64D61" w:rsidRDefault="00A64D61" w:rsidP="00AE09DB">
            <w:pPr>
              <w:widowControl/>
              <w:jc w:val="left"/>
              <w:rPr>
                <w:rFonts w:ascii="仿宋_GB2312" w:eastAsia="仿宋_GB2312" w:hAnsi="宋体" w:cs="宋体"/>
                <w:kern w:val="0"/>
                <w:sz w:val="20"/>
                <w:szCs w:val="20"/>
              </w:rPr>
            </w:pPr>
          </w:p>
        </w:tc>
        <w:tc>
          <w:tcPr>
            <w:tcW w:w="851"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生态  效益</w:t>
            </w:r>
          </w:p>
        </w:tc>
        <w:tc>
          <w:tcPr>
            <w:tcW w:w="567" w:type="dxa"/>
            <w:vMerge/>
            <w:vAlign w:val="center"/>
          </w:tcPr>
          <w:p w:rsidR="00A64D61" w:rsidRDefault="00A64D61" w:rsidP="00AE09DB">
            <w:pPr>
              <w:widowControl/>
              <w:jc w:val="left"/>
              <w:rPr>
                <w:rFonts w:ascii="仿宋_GB2312" w:eastAsia="仿宋_GB2312" w:hAnsi="宋体" w:cs="宋体"/>
                <w:kern w:val="0"/>
                <w:sz w:val="20"/>
                <w:szCs w:val="20"/>
              </w:rPr>
            </w:pPr>
          </w:p>
        </w:tc>
        <w:tc>
          <w:tcPr>
            <w:tcW w:w="6590" w:type="dxa"/>
            <w:gridSpan w:val="2"/>
            <w:vMerge/>
            <w:vAlign w:val="center"/>
          </w:tcPr>
          <w:p w:rsidR="00A64D61" w:rsidRDefault="00A64D61" w:rsidP="00AE09DB">
            <w:pPr>
              <w:widowControl/>
              <w:jc w:val="left"/>
              <w:rPr>
                <w:rFonts w:ascii="仿宋_GB2312" w:eastAsia="仿宋_GB2312" w:hAnsi="宋体" w:cs="宋体"/>
                <w:kern w:val="0"/>
                <w:sz w:val="20"/>
                <w:szCs w:val="20"/>
              </w:rPr>
            </w:pPr>
          </w:p>
        </w:tc>
        <w:tc>
          <w:tcPr>
            <w:tcW w:w="617" w:type="dxa"/>
            <w:vMerge/>
            <w:shd w:val="clear" w:color="auto" w:fill="auto"/>
            <w:vAlign w:val="center"/>
          </w:tcPr>
          <w:p w:rsidR="00A64D61" w:rsidRPr="00742B8F" w:rsidRDefault="00A64D61" w:rsidP="00AE09DB">
            <w:pPr>
              <w:widowControl/>
              <w:jc w:val="center"/>
              <w:rPr>
                <w:rFonts w:ascii="仿宋_GB2312" w:eastAsia="仿宋_GB2312" w:hAnsi="宋体" w:cs="宋体"/>
                <w:color w:val="000000" w:themeColor="text1"/>
                <w:kern w:val="0"/>
                <w:sz w:val="20"/>
                <w:szCs w:val="20"/>
              </w:rPr>
            </w:pPr>
          </w:p>
        </w:tc>
      </w:tr>
      <w:tr w:rsidR="00A64D61" w:rsidRPr="00742B8F" w:rsidTr="00AE09DB">
        <w:trPr>
          <w:trHeight w:val="1720"/>
          <w:jc w:val="center"/>
        </w:trPr>
        <w:tc>
          <w:tcPr>
            <w:tcW w:w="411" w:type="dxa"/>
            <w:vMerge/>
            <w:tcBorders>
              <w:top w:val="single" w:sz="4" w:space="0" w:color="auto"/>
              <w:bottom w:val="single" w:sz="4" w:space="0" w:color="auto"/>
            </w:tcBorders>
          </w:tcPr>
          <w:p w:rsidR="00A64D61" w:rsidRDefault="00A64D61" w:rsidP="00AE09DB">
            <w:pPr>
              <w:widowControl/>
              <w:jc w:val="left"/>
              <w:rPr>
                <w:rFonts w:ascii="仿宋_GB2312" w:eastAsia="仿宋_GB2312" w:hAnsi="宋体" w:cs="宋体"/>
                <w:kern w:val="0"/>
                <w:sz w:val="20"/>
                <w:szCs w:val="20"/>
              </w:rPr>
            </w:pPr>
          </w:p>
        </w:tc>
        <w:tc>
          <w:tcPr>
            <w:tcW w:w="429" w:type="dxa"/>
            <w:vMerge/>
            <w:tcBorders>
              <w:top w:val="single" w:sz="4" w:space="0" w:color="auto"/>
              <w:bottom w:val="single" w:sz="4" w:space="0" w:color="auto"/>
            </w:tcBorders>
          </w:tcPr>
          <w:p w:rsidR="00A64D61" w:rsidRDefault="00A64D61" w:rsidP="00AE09DB">
            <w:pPr>
              <w:widowControl/>
              <w:jc w:val="left"/>
              <w:rPr>
                <w:rFonts w:ascii="仿宋_GB2312" w:eastAsia="仿宋_GB2312" w:hAnsi="宋体" w:cs="宋体"/>
                <w:kern w:val="0"/>
                <w:sz w:val="20"/>
                <w:szCs w:val="20"/>
              </w:rPr>
            </w:pPr>
          </w:p>
        </w:tc>
        <w:tc>
          <w:tcPr>
            <w:tcW w:w="567" w:type="dxa"/>
            <w:vMerge/>
            <w:tcBorders>
              <w:top w:val="single" w:sz="4" w:space="0" w:color="auto"/>
              <w:bottom w:val="single" w:sz="4" w:space="0" w:color="auto"/>
            </w:tcBorders>
          </w:tcPr>
          <w:p w:rsidR="00A64D61" w:rsidRDefault="00A64D61" w:rsidP="00AE09DB">
            <w:pPr>
              <w:widowControl/>
              <w:jc w:val="left"/>
              <w:rPr>
                <w:rFonts w:ascii="仿宋_GB2312" w:eastAsia="仿宋_GB2312" w:hAnsi="宋体" w:cs="宋体"/>
                <w:kern w:val="0"/>
                <w:sz w:val="20"/>
                <w:szCs w:val="20"/>
              </w:rPr>
            </w:pPr>
          </w:p>
        </w:tc>
        <w:tc>
          <w:tcPr>
            <w:tcW w:w="851"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社会公众或服务对象满意度</w:t>
            </w:r>
          </w:p>
        </w:tc>
        <w:tc>
          <w:tcPr>
            <w:tcW w:w="567"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A64D61" w:rsidRDefault="00A64D61" w:rsidP="00AE09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90%（含）以上计2分；</w:t>
            </w:r>
            <w:r>
              <w:rPr>
                <w:rFonts w:ascii="仿宋_GB2312" w:eastAsia="仿宋_GB2312" w:hAnsi="宋体" w:cs="宋体" w:hint="eastAsia"/>
                <w:kern w:val="0"/>
                <w:sz w:val="20"/>
                <w:szCs w:val="20"/>
              </w:rPr>
              <w:br/>
              <w:t>80%（含）-90%，计1分；70%（含）-80%，计0.5分；低于70%,计0分。</w:t>
            </w:r>
          </w:p>
        </w:tc>
        <w:tc>
          <w:tcPr>
            <w:tcW w:w="3472" w:type="dxa"/>
            <w:vAlign w:val="center"/>
          </w:tcPr>
          <w:p w:rsidR="00A64D61" w:rsidRDefault="00A64D61" w:rsidP="00AE09DB">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社会公众或服务对象是指部门（单位）履行职责而影响到的部门，群体或个人，一般采取社会调查的方式(不少于30份)。</w:t>
            </w:r>
          </w:p>
        </w:tc>
        <w:tc>
          <w:tcPr>
            <w:tcW w:w="617" w:type="dxa"/>
            <w:shd w:val="clear" w:color="auto" w:fill="auto"/>
            <w:vAlign w:val="center"/>
          </w:tcPr>
          <w:p w:rsidR="00A64D61" w:rsidRPr="00742B8F" w:rsidRDefault="00A64D61" w:rsidP="00AE09DB">
            <w:pPr>
              <w:widowControl/>
              <w:jc w:val="center"/>
              <w:rPr>
                <w:rFonts w:ascii="仿宋_GB2312" w:eastAsia="仿宋_GB2312" w:hAnsi="宋体" w:cs="宋体"/>
                <w:color w:val="000000" w:themeColor="text1"/>
                <w:kern w:val="0"/>
                <w:sz w:val="20"/>
                <w:szCs w:val="20"/>
              </w:rPr>
            </w:pPr>
            <w:r w:rsidRPr="00742B8F">
              <w:rPr>
                <w:rFonts w:ascii="仿宋_GB2312" w:eastAsia="仿宋_GB2312" w:hAnsi="宋体" w:cs="宋体" w:hint="eastAsia"/>
                <w:color w:val="000000" w:themeColor="text1"/>
                <w:kern w:val="0"/>
                <w:sz w:val="20"/>
                <w:szCs w:val="20"/>
              </w:rPr>
              <w:t>2</w:t>
            </w:r>
          </w:p>
        </w:tc>
      </w:tr>
      <w:tr w:rsidR="00A64D61" w:rsidRPr="00742B8F" w:rsidTr="00AE09DB">
        <w:trPr>
          <w:trHeight w:hRule="exact" w:val="1001"/>
          <w:jc w:val="center"/>
        </w:trPr>
        <w:tc>
          <w:tcPr>
            <w:tcW w:w="840" w:type="dxa"/>
            <w:gridSpan w:val="2"/>
            <w:vAlign w:val="center"/>
          </w:tcPr>
          <w:p w:rsidR="00A64D61" w:rsidRDefault="00A64D61" w:rsidP="00AE09DB">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合计</w:t>
            </w:r>
          </w:p>
        </w:tc>
        <w:tc>
          <w:tcPr>
            <w:tcW w:w="8575" w:type="dxa"/>
            <w:gridSpan w:val="5"/>
            <w:vAlign w:val="center"/>
          </w:tcPr>
          <w:p w:rsidR="00A64D61" w:rsidRDefault="00A64D61" w:rsidP="00AE09DB">
            <w:pPr>
              <w:widowControl/>
              <w:rPr>
                <w:rFonts w:ascii="仿宋_GB2312" w:eastAsia="仿宋_GB2312" w:hAnsi="宋体" w:cs="宋体"/>
                <w:kern w:val="0"/>
                <w:sz w:val="20"/>
                <w:szCs w:val="20"/>
              </w:rPr>
            </w:pPr>
          </w:p>
        </w:tc>
        <w:tc>
          <w:tcPr>
            <w:tcW w:w="617" w:type="dxa"/>
            <w:shd w:val="clear" w:color="auto" w:fill="auto"/>
            <w:vAlign w:val="center"/>
          </w:tcPr>
          <w:p w:rsidR="00A64D61" w:rsidRPr="00742B8F" w:rsidRDefault="00A64D61" w:rsidP="00AE09DB">
            <w:pPr>
              <w:widowControl/>
              <w:jc w:val="center"/>
              <w:rPr>
                <w:rFonts w:ascii="宋体" w:hAnsi="宋体" w:cs="宋体"/>
                <w:color w:val="000000" w:themeColor="text1"/>
                <w:kern w:val="0"/>
                <w:sz w:val="24"/>
              </w:rPr>
            </w:pPr>
            <w:r w:rsidRPr="00742B8F">
              <w:rPr>
                <w:rFonts w:ascii="宋体" w:hAnsi="宋体" w:cs="宋体" w:hint="eastAsia"/>
                <w:color w:val="000000" w:themeColor="text1"/>
                <w:kern w:val="0"/>
                <w:sz w:val="24"/>
              </w:rPr>
              <w:t>99</w:t>
            </w:r>
          </w:p>
        </w:tc>
      </w:tr>
    </w:tbl>
    <w:p w:rsidR="00A64D61" w:rsidRDefault="00A64D61" w:rsidP="00A64D61">
      <w:pPr>
        <w:spacing w:line="600" w:lineRule="exact"/>
        <w:rPr>
          <w:rFonts w:ascii="宋体" w:hAnsi="宋体" w:cs="宋体"/>
          <w:kern w:val="0"/>
          <w:sz w:val="32"/>
          <w:szCs w:val="32"/>
        </w:rPr>
      </w:pPr>
    </w:p>
    <w:p w:rsidR="00A64D61" w:rsidRDefault="00A64D61" w:rsidP="00A64D61">
      <w:pPr>
        <w:pStyle w:val="a4"/>
        <w:widowControl/>
        <w:shd w:val="clear" w:color="auto" w:fill="FFFFFF"/>
        <w:spacing w:before="0" w:beforeAutospacing="0" w:after="0" w:afterAutospacing="0"/>
        <w:rPr>
          <w:rFonts w:ascii="宋体" w:hAnsi="宋体" w:cs="宋体"/>
          <w:b/>
          <w:color w:val="444444"/>
          <w:sz w:val="29"/>
          <w:szCs w:val="29"/>
          <w:shd w:val="clear" w:color="auto" w:fill="FFFFFF"/>
        </w:rPr>
      </w:pPr>
    </w:p>
    <w:p w:rsidR="00A64D61" w:rsidRDefault="00A64D61">
      <w:pPr>
        <w:pStyle w:val="a4"/>
        <w:widowControl/>
        <w:shd w:val="clear" w:color="auto" w:fill="FFFFFF"/>
        <w:spacing w:before="0" w:beforeAutospacing="0" w:after="0" w:afterAutospacing="0"/>
        <w:jc w:val="center"/>
        <w:rPr>
          <w:rFonts w:ascii="宋体" w:hAnsi="宋体" w:cs="宋体"/>
          <w:b/>
          <w:color w:val="444444"/>
          <w:sz w:val="29"/>
          <w:szCs w:val="29"/>
          <w:shd w:val="clear" w:color="auto" w:fill="FFFFFF"/>
        </w:rPr>
      </w:pPr>
    </w:p>
    <w:p w:rsidR="00A64D61" w:rsidRDefault="00A64D61">
      <w:pPr>
        <w:pStyle w:val="a4"/>
        <w:widowControl/>
        <w:shd w:val="clear" w:color="auto" w:fill="FFFFFF"/>
        <w:spacing w:before="0" w:beforeAutospacing="0" w:after="0" w:afterAutospacing="0"/>
        <w:jc w:val="center"/>
        <w:rPr>
          <w:rFonts w:ascii="宋体" w:hAnsi="宋体" w:cs="宋体"/>
          <w:b/>
          <w:color w:val="444444"/>
          <w:sz w:val="29"/>
          <w:szCs w:val="29"/>
          <w:shd w:val="clear" w:color="auto" w:fill="FFFFFF"/>
        </w:rPr>
      </w:pPr>
    </w:p>
    <w:p w:rsidR="009E2663" w:rsidRDefault="00563E85">
      <w:pPr>
        <w:pStyle w:val="a4"/>
        <w:widowControl/>
        <w:shd w:val="clear" w:color="auto" w:fill="FFFFFF"/>
        <w:spacing w:before="0" w:beforeAutospacing="0" w:after="0" w:afterAutospacing="0"/>
        <w:jc w:val="center"/>
        <w:rPr>
          <w:rFonts w:ascii="微软雅黑" w:eastAsia="微软雅黑" w:hAnsi="微软雅黑" w:cs="微软雅黑"/>
          <w:color w:val="444444"/>
        </w:rPr>
      </w:pPr>
      <w:r>
        <w:rPr>
          <w:rFonts w:ascii="宋体" w:hAnsi="宋体" w:cs="宋体" w:hint="eastAsia"/>
          <w:b/>
          <w:color w:val="444444"/>
          <w:sz w:val="29"/>
          <w:szCs w:val="29"/>
          <w:shd w:val="clear" w:color="auto" w:fill="FFFFFF"/>
        </w:rPr>
        <w:t>2021年度部门整体支出绩效评价报告</w:t>
      </w:r>
    </w:p>
    <w:p w:rsidR="009E2663" w:rsidRDefault="00563E85">
      <w:pPr>
        <w:widowControl/>
        <w:shd w:val="clear" w:color="auto" w:fill="FFFFFF"/>
        <w:spacing w:line="600" w:lineRule="atLeast"/>
        <w:ind w:firstLine="640"/>
        <w:jc w:val="left"/>
        <w:rPr>
          <w:rFonts w:ascii="微软雅黑" w:eastAsia="微软雅黑" w:hAnsi="微软雅黑" w:cs="微软雅黑"/>
          <w:color w:val="444444"/>
          <w:sz w:val="24"/>
        </w:rPr>
      </w:pPr>
      <w:r>
        <w:rPr>
          <w:rFonts w:ascii="黑体" w:eastAsia="黑体" w:hAnsi="宋体" w:cs="黑体"/>
          <w:color w:val="444444"/>
          <w:kern w:val="0"/>
          <w:sz w:val="28"/>
          <w:szCs w:val="28"/>
          <w:shd w:val="clear" w:color="auto" w:fill="FFFFFF"/>
        </w:rPr>
        <w:t>一、部门概况</w:t>
      </w:r>
    </w:p>
    <w:p w:rsidR="009E2663" w:rsidRDefault="00563E85">
      <w:pPr>
        <w:widowControl/>
        <w:shd w:val="clear" w:color="auto" w:fill="FFFFFF"/>
        <w:spacing w:line="600" w:lineRule="atLeast"/>
        <w:ind w:firstLine="643"/>
        <w:jc w:val="left"/>
        <w:rPr>
          <w:rFonts w:ascii="微软雅黑" w:eastAsia="微软雅黑" w:hAnsi="微软雅黑" w:cs="微软雅黑"/>
          <w:color w:val="444444"/>
          <w:sz w:val="24"/>
        </w:rPr>
      </w:pPr>
      <w:r>
        <w:rPr>
          <w:rFonts w:ascii="楷体_GB2312" w:eastAsia="楷体_GB2312" w:hAnsi="微软雅黑" w:cs="楷体_GB2312"/>
          <w:b/>
          <w:color w:val="444444"/>
          <w:kern w:val="0"/>
          <w:sz w:val="28"/>
          <w:szCs w:val="28"/>
          <w:shd w:val="clear" w:color="auto" w:fill="FFFFFF"/>
        </w:rPr>
        <w:t>（一）部门基本情况</w:t>
      </w:r>
    </w:p>
    <w:p w:rsidR="009E2663" w:rsidRDefault="00563E85">
      <w:pPr>
        <w:widowControl/>
        <w:shd w:val="clear" w:color="auto" w:fill="FFFFFF"/>
        <w:spacing w:line="579" w:lineRule="atLeast"/>
        <w:ind w:firstLine="643"/>
        <w:jc w:val="left"/>
        <w:rPr>
          <w:rFonts w:ascii="微软雅黑" w:eastAsia="微软雅黑" w:hAnsi="微软雅黑" w:cs="微软雅黑"/>
          <w:color w:val="444444"/>
          <w:sz w:val="24"/>
        </w:rPr>
      </w:pPr>
      <w:r>
        <w:rPr>
          <w:rFonts w:ascii="仿宋_GB2312" w:eastAsia="仿宋_GB2312" w:hAnsi="微软雅黑" w:cs="仿宋_GB2312"/>
          <w:b/>
          <w:color w:val="444444"/>
          <w:kern w:val="0"/>
          <w:sz w:val="28"/>
          <w:szCs w:val="28"/>
          <w:shd w:val="clear" w:color="auto" w:fill="FFFFFF"/>
        </w:rPr>
        <w:t>1、部门职能职责：</w:t>
      </w:r>
      <w:r>
        <w:rPr>
          <w:rFonts w:ascii="仿宋_GB2312" w:eastAsia="仿宋_GB2312" w:hAnsi="微软雅黑" w:cs="仿宋_GB2312"/>
          <w:color w:val="444444"/>
          <w:kern w:val="0"/>
          <w:sz w:val="28"/>
          <w:szCs w:val="28"/>
          <w:shd w:val="clear" w:color="auto" w:fill="FFFFFF"/>
        </w:rPr>
        <w:t>中共邵阳市委统一战线工作部（以下简称市委统战部）是市委工作机关，作为市委主管统一战线工作的职能部门，统一领导和管理市民族宗教事务局，加挂市政府侨务办公室牌子。</w:t>
      </w:r>
    </w:p>
    <w:p w:rsidR="009E2663" w:rsidRDefault="00563E85">
      <w:pPr>
        <w:widowControl/>
        <w:shd w:val="clear" w:color="auto" w:fill="FFFFFF"/>
        <w:spacing w:line="579" w:lineRule="atLeast"/>
        <w:ind w:firstLine="640"/>
        <w:jc w:val="left"/>
        <w:rPr>
          <w:rFonts w:ascii="微软雅黑" w:eastAsia="微软雅黑" w:hAnsi="微软雅黑" w:cs="微软雅黑"/>
          <w:color w:val="444444"/>
          <w:sz w:val="24"/>
        </w:rPr>
      </w:pPr>
      <w:r>
        <w:rPr>
          <w:rFonts w:ascii="仿宋_GB2312" w:eastAsia="仿宋_GB2312" w:hAnsi="微软雅黑" w:cs="仿宋_GB2312"/>
          <w:color w:val="444444"/>
          <w:kern w:val="0"/>
          <w:sz w:val="28"/>
          <w:szCs w:val="28"/>
          <w:shd w:val="clear" w:color="auto" w:fill="FFFFFF"/>
        </w:rPr>
        <w:t>主要职责：</w:t>
      </w:r>
    </w:p>
    <w:p w:rsidR="009E2663" w:rsidRDefault="00563E85">
      <w:pPr>
        <w:widowControl/>
        <w:shd w:val="clear" w:color="auto" w:fill="FFFFFF"/>
        <w:spacing w:line="579" w:lineRule="atLeast"/>
        <w:ind w:firstLine="640"/>
        <w:jc w:val="left"/>
        <w:rPr>
          <w:rFonts w:ascii="微软雅黑" w:eastAsia="微软雅黑" w:hAnsi="微软雅黑" w:cs="微软雅黑"/>
          <w:color w:val="444444"/>
          <w:sz w:val="24"/>
        </w:rPr>
      </w:pPr>
      <w:r>
        <w:rPr>
          <w:rFonts w:ascii="仿宋_GB2312" w:eastAsia="仿宋_GB2312" w:hAnsi="微软雅黑" w:cs="仿宋_GB2312"/>
          <w:color w:val="444444"/>
          <w:kern w:val="0"/>
          <w:sz w:val="28"/>
          <w:szCs w:val="28"/>
          <w:shd w:val="clear" w:color="auto" w:fill="FFFFFF"/>
        </w:rPr>
        <w:t>（一）贯彻落实加强党对统一战线工作集中统一领导的要求，了解情况、掌握政策、协调关系、安排人事、增进共识、加强团结，巩固壮大最广泛的统一战线。</w:t>
      </w:r>
    </w:p>
    <w:p w:rsidR="009E2663" w:rsidRDefault="00563E85">
      <w:pPr>
        <w:widowControl/>
        <w:shd w:val="clear" w:color="auto" w:fill="FFFFFF"/>
        <w:spacing w:line="579" w:lineRule="atLeast"/>
        <w:ind w:firstLine="640"/>
        <w:jc w:val="left"/>
        <w:rPr>
          <w:rFonts w:ascii="微软雅黑" w:eastAsia="微软雅黑" w:hAnsi="微软雅黑" w:cs="微软雅黑"/>
          <w:color w:val="444444"/>
          <w:sz w:val="24"/>
        </w:rPr>
      </w:pPr>
      <w:r>
        <w:rPr>
          <w:rFonts w:ascii="仿宋_GB2312" w:eastAsia="仿宋_GB2312" w:hAnsi="微软雅黑" w:cs="仿宋_GB2312"/>
          <w:color w:val="444444"/>
          <w:kern w:val="0"/>
          <w:sz w:val="28"/>
          <w:szCs w:val="28"/>
          <w:shd w:val="clear" w:color="auto" w:fill="FFFFFF"/>
        </w:rPr>
        <w:t>（二）协调开展全市统一战线重大理论研究，拟定全市统一战线政策和地方性法规草案并推动落实。</w:t>
      </w:r>
    </w:p>
    <w:p w:rsidR="009E2663" w:rsidRDefault="00563E85">
      <w:pPr>
        <w:widowControl/>
        <w:shd w:val="clear" w:color="auto" w:fill="FFFFFF"/>
        <w:spacing w:line="579" w:lineRule="atLeast"/>
        <w:ind w:firstLine="640"/>
        <w:jc w:val="left"/>
        <w:rPr>
          <w:rFonts w:ascii="微软雅黑" w:eastAsia="微软雅黑" w:hAnsi="微软雅黑" w:cs="微软雅黑"/>
          <w:color w:val="444444"/>
          <w:sz w:val="24"/>
        </w:rPr>
      </w:pPr>
      <w:r>
        <w:rPr>
          <w:rFonts w:ascii="仿宋_GB2312" w:eastAsia="仿宋_GB2312" w:hAnsi="微软雅黑" w:cs="仿宋_GB2312"/>
          <w:color w:val="444444"/>
          <w:kern w:val="0"/>
          <w:sz w:val="28"/>
          <w:szCs w:val="28"/>
          <w:shd w:val="clear" w:color="auto" w:fill="FFFFFF"/>
        </w:rPr>
        <w:t>（三）负责发现、培养党外代表人士，负责党外人士的政治安排。</w:t>
      </w:r>
    </w:p>
    <w:p w:rsidR="009E2663" w:rsidRDefault="00563E85">
      <w:pPr>
        <w:widowControl/>
        <w:shd w:val="clear" w:color="auto" w:fill="FFFFFF"/>
        <w:spacing w:line="579" w:lineRule="atLeast"/>
        <w:ind w:firstLine="640"/>
        <w:jc w:val="left"/>
        <w:rPr>
          <w:rFonts w:ascii="微软雅黑" w:eastAsia="微软雅黑" w:hAnsi="微软雅黑" w:cs="微软雅黑"/>
          <w:color w:val="444444"/>
          <w:sz w:val="24"/>
        </w:rPr>
      </w:pPr>
      <w:r>
        <w:rPr>
          <w:rFonts w:ascii="仿宋_GB2312" w:eastAsia="仿宋_GB2312" w:hAnsi="微软雅黑" w:cs="仿宋_GB2312"/>
          <w:color w:val="444444"/>
          <w:kern w:val="0"/>
          <w:sz w:val="28"/>
          <w:szCs w:val="28"/>
          <w:shd w:val="clear" w:color="auto" w:fill="FFFFFF"/>
        </w:rPr>
        <w:t>（四）贯彻落实党的宣传工作方针，研判涉及全市统一战线的舆情并协调有关部门应对处置。</w:t>
      </w:r>
    </w:p>
    <w:p w:rsidR="009E2663" w:rsidRDefault="00563E85">
      <w:pPr>
        <w:widowControl/>
        <w:shd w:val="clear" w:color="auto" w:fill="FFFFFF"/>
        <w:spacing w:line="579" w:lineRule="atLeast"/>
        <w:ind w:firstLine="640"/>
        <w:jc w:val="left"/>
        <w:rPr>
          <w:rFonts w:ascii="微软雅黑" w:eastAsia="微软雅黑" w:hAnsi="微软雅黑" w:cs="微软雅黑"/>
          <w:color w:val="444444"/>
          <w:sz w:val="24"/>
        </w:rPr>
      </w:pPr>
      <w:r>
        <w:rPr>
          <w:rFonts w:ascii="仿宋_GB2312" w:eastAsia="仿宋_GB2312" w:hAnsi="微软雅黑" w:cs="仿宋_GB2312"/>
          <w:color w:val="444444"/>
          <w:kern w:val="0"/>
          <w:sz w:val="28"/>
          <w:szCs w:val="28"/>
          <w:shd w:val="clear" w:color="auto" w:fill="FFFFFF"/>
        </w:rPr>
        <w:t>（五）负责联系各民主党派，通报情况、反映意见，贯彻落实中国共产党领导的多党合作和政治协商制度。</w:t>
      </w:r>
    </w:p>
    <w:p w:rsidR="009E2663" w:rsidRDefault="00563E85">
      <w:pPr>
        <w:widowControl/>
        <w:shd w:val="clear" w:color="auto" w:fill="FFFFFF"/>
        <w:spacing w:line="579" w:lineRule="atLeast"/>
        <w:ind w:firstLine="640"/>
        <w:jc w:val="left"/>
        <w:rPr>
          <w:rFonts w:ascii="微软雅黑" w:eastAsia="微软雅黑" w:hAnsi="微软雅黑" w:cs="微软雅黑"/>
          <w:color w:val="444444"/>
          <w:sz w:val="24"/>
        </w:rPr>
      </w:pPr>
      <w:r>
        <w:rPr>
          <w:rFonts w:ascii="仿宋_GB2312" w:eastAsia="仿宋_GB2312" w:hAnsi="微软雅黑" w:cs="仿宋_GB2312"/>
          <w:color w:val="444444"/>
          <w:kern w:val="0"/>
          <w:sz w:val="28"/>
          <w:szCs w:val="28"/>
          <w:shd w:val="clear" w:color="auto" w:fill="FFFFFF"/>
        </w:rPr>
        <w:t>（六）贯彻落实党的民族宗教工作方针和政策，巩固和发展同宗教界的爱国统一战线。</w:t>
      </w:r>
    </w:p>
    <w:p w:rsidR="009E2663" w:rsidRDefault="00563E85">
      <w:pPr>
        <w:widowControl/>
        <w:shd w:val="clear" w:color="auto" w:fill="FFFFFF"/>
        <w:spacing w:line="579" w:lineRule="atLeast"/>
        <w:ind w:firstLine="640"/>
        <w:jc w:val="left"/>
        <w:rPr>
          <w:rFonts w:ascii="微软雅黑" w:eastAsia="微软雅黑" w:hAnsi="微软雅黑" w:cs="微软雅黑"/>
          <w:color w:val="444444"/>
          <w:sz w:val="24"/>
        </w:rPr>
      </w:pPr>
      <w:r>
        <w:rPr>
          <w:rFonts w:ascii="仿宋_GB2312" w:eastAsia="仿宋_GB2312" w:hAnsi="微软雅黑" w:cs="仿宋_GB2312"/>
          <w:color w:val="444444"/>
          <w:kern w:val="0"/>
          <w:sz w:val="28"/>
          <w:szCs w:val="28"/>
          <w:shd w:val="clear" w:color="auto" w:fill="FFFFFF"/>
        </w:rPr>
        <w:lastRenderedPageBreak/>
        <w:t>（七）负责联系、培养无党派代表人士，支持、帮助无党派人士加强自身建设、发挥作用。</w:t>
      </w:r>
    </w:p>
    <w:p w:rsidR="009E2663" w:rsidRDefault="00563E85">
      <w:pPr>
        <w:widowControl/>
        <w:shd w:val="clear" w:color="auto" w:fill="FFFFFF"/>
        <w:spacing w:line="579" w:lineRule="atLeast"/>
        <w:ind w:firstLine="640"/>
        <w:jc w:val="left"/>
        <w:rPr>
          <w:rFonts w:ascii="微软雅黑" w:eastAsia="微软雅黑" w:hAnsi="微软雅黑" w:cs="微软雅黑"/>
          <w:color w:val="444444"/>
          <w:sz w:val="24"/>
        </w:rPr>
      </w:pPr>
      <w:r>
        <w:rPr>
          <w:rFonts w:ascii="仿宋_GB2312" w:eastAsia="仿宋_GB2312" w:hAnsi="微软雅黑" w:cs="仿宋_GB2312"/>
          <w:color w:val="444444"/>
          <w:kern w:val="0"/>
          <w:sz w:val="28"/>
          <w:szCs w:val="28"/>
          <w:shd w:val="clear" w:color="auto" w:fill="FFFFFF"/>
        </w:rPr>
        <w:t>（八）参与制定、推动落实鼓励支持引导非公有制经济发展的政策，了解和反映非公有制经济人士意见，团结、服务、引导、教育非公有制经济人士，促进非公有制经济健康发展和非公有制经济人士健康成长。</w:t>
      </w:r>
    </w:p>
    <w:p w:rsidR="009E2663" w:rsidRDefault="00563E85">
      <w:pPr>
        <w:widowControl/>
        <w:shd w:val="clear" w:color="auto" w:fill="FFFFFF"/>
        <w:spacing w:line="579" w:lineRule="atLeast"/>
        <w:ind w:firstLine="640"/>
        <w:jc w:val="left"/>
        <w:rPr>
          <w:rFonts w:ascii="微软雅黑" w:eastAsia="微软雅黑" w:hAnsi="微软雅黑" w:cs="微软雅黑"/>
          <w:color w:val="444444"/>
          <w:sz w:val="24"/>
        </w:rPr>
      </w:pPr>
      <w:r>
        <w:rPr>
          <w:rFonts w:ascii="仿宋_GB2312" w:eastAsia="仿宋_GB2312" w:hAnsi="微软雅黑" w:cs="仿宋_GB2312"/>
          <w:color w:val="444444"/>
          <w:kern w:val="0"/>
          <w:sz w:val="28"/>
          <w:szCs w:val="28"/>
          <w:shd w:val="clear" w:color="auto" w:fill="FFFFFF"/>
        </w:rPr>
        <w:t>（九）统一领导全市海外统战工作，牵头开展港澳台统战工作，开展对台统战工作。</w:t>
      </w:r>
    </w:p>
    <w:p w:rsidR="009E2663" w:rsidRDefault="00563E85">
      <w:pPr>
        <w:widowControl/>
        <w:shd w:val="clear" w:color="auto" w:fill="FFFFFF"/>
        <w:spacing w:line="579" w:lineRule="atLeast"/>
        <w:ind w:firstLine="640"/>
        <w:jc w:val="left"/>
        <w:rPr>
          <w:rFonts w:ascii="微软雅黑" w:eastAsia="微软雅黑" w:hAnsi="微软雅黑" w:cs="微软雅黑"/>
          <w:color w:val="444444"/>
          <w:sz w:val="24"/>
        </w:rPr>
      </w:pPr>
      <w:r>
        <w:rPr>
          <w:rFonts w:ascii="仿宋_GB2312" w:eastAsia="仿宋_GB2312" w:hAnsi="微软雅黑" w:cs="仿宋_GB2312"/>
          <w:color w:val="444444"/>
          <w:kern w:val="0"/>
          <w:sz w:val="28"/>
          <w:szCs w:val="28"/>
          <w:shd w:val="clear" w:color="auto" w:fill="FFFFFF"/>
        </w:rPr>
        <w:t>（十）统一管理全市侨务工作。</w:t>
      </w:r>
    </w:p>
    <w:p w:rsidR="009E2663" w:rsidRDefault="00563E85">
      <w:pPr>
        <w:widowControl/>
        <w:shd w:val="clear" w:color="auto" w:fill="FFFFFF"/>
        <w:spacing w:line="579" w:lineRule="atLeast"/>
        <w:ind w:firstLine="640"/>
        <w:jc w:val="left"/>
        <w:rPr>
          <w:rFonts w:ascii="微软雅黑" w:eastAsia="微软雅黑" w:hAnsi="微软雅黑" w:cs="微软雅黑"/>
          <w:color w:val="444444"/>
          <w:sz w:val="24"/>
        </w:rPr>
      </w:pPr>
      <w:r>
        <w:rPr>
          <w:rFonts w:ascii="仿宋_GB2312" w:eastAsia="仿宋_GB2312" w:hAnsi="微软雅黑" w:cs="仿宋_GB2312"/>
          <w:color w:val="444444"/>
          <w:kern w:val="0"/>
          <w:sz w:val="28"/>
          <w:szCs w:val="28"/>
          <w:shd w:val="clear" w:color="auto" w:fill="FFFFFF"/>
        </w:rPr>
        <w:t>（十一）协助管理县级党委统战部部长。领导市工商联党组，指导市工商联工作。做好统一战线有关单位和团体的管理工作。</w:t>
      </w:r>
    </w:p>
    <w:p w:rsidR="009E2663" w:rsidRDefault="00563E85">
      <w:pPr>
        <w:widowControl/>
        <w:shd w:val="clear" w:color="auto" w:fill="FFFFFF"/>
        <w:spacing w:line="579" w:lineRule="atLeast"/>
        <w:ind w:firstLine="640"/>
        <w:jc w:val="left"/>
        <w:rPr>
          <w:rFonts w:ascii="微软雅黑" w:eastAsia="微软雅黑" w:hAnsi="微软雅黑" w:cs="微软雅黑"/>
          <w:color w:val="444444"/>
          <w:sz w:val="24"/>
        </w:rPr>
      </w:pPr>
      <w:r>
        <w:rPr>
          <w:rFonts w:ascii="仿宋_GB2312" w:eastAsia="仿宋_GB2312" w:hAnsi="微软雅黑" w:cs="仿宋_GB2312"/>
          <w:color w:val="444444"/>
          <w:kern w:val="0"/>
          <w:sz w:val="28"/>
          <w:szCs w:val="28"/>
          <w:shd w:val="clear" w:color="auto" w:fill="FFFFFF"/>
        </w:rPr>
        <w:t>（十二）完成市委交办的其他任务。</w:t>
      </w:r>
    </w:p>
    <w:p w:rsidR="009E2663" w:rsidRDefault="00563E85">
      <w:pPr>
        <w:rPr>
          <w:rFonts w:ascii="华文仿宋" w:eastAsia="华文仿宋" w:hAnsi="华文仿宋" w:cs="华文仿宋"/>
          <w:sz w:val="32"/>
          <w:szCs w:val="32"/>
        </w:rPr>
      </w:pPr>
      <w:r>
        <w:rPr>
          <w:rFonts w:ascii="仿宋_GB2312" w:eastAsia="仿宋_GB2312" w:hAnsi="微软雅黑" w:cs="仿宋_GB2312"/>
          <w:b/>
          <w:color w:val="444444"/>
          <w:sz w:val="28"/>
          <w:szCs w:val="28"/>
          <w:shd w:val="clear" w:color="auto" w:fill="FFFFFF"/>
        </w:rPr>
        <w:t>2、机构基本情况：</w:t>
      </w:r>
      <w:r>
        <w:rPr>
          <w:rFonts w:ascii="仿宋_GB2312" w:eastAsia="仿宋_GB2312" w:hAnsi="微软雅黑" w:cs="仿宋_GB2312"/>
          <w:color w:val="444444"/>
          <w:sz w:val="28"/>
          <w:szCs w:val="28"/>
          <w:shd w:val="clear" w:color="auto" w:fill="FFFFFF"/>
        </w:rPr>
        <w:t>邵阳市委统战部内设机构包括：办公室、研究室、干部和民主党派工作科、民族宗教工作科、非公有制经济工作科、无党派人士和党外知识分子工作科（加挂新的社会阶层人士工作科牌子）、侨务和港澳台统战工作科。机关党委，负责部机关及统战系统单位的党群工作。</w:t>
      </w:r>
    </w:p>
    <w:p w:rsidR="009E2663" w:rsidRPr="005D20FD" w:rsidRDefault="00563E85" w:rsidP="00A64D61">
      <w:pPr>
        <w:ind w:firstLineChars="200" w:firstLine="560"/>
        <w:rPr>
          <w:rFonts w:ascii="仿宋_GB2312" w:eastAsia="仿宋_GB2312" w:hAnsi="微软雅黑" w:cs="仿宋_GB2312"/>
          <w:color w:val="444444"/>
          <w:kern w:val="0"/>
          <w:sz w:val="28"/>
          <w:szCs w:val="28"/>
          <w:shd w:val="clear" w:color="auto" w:fill="FFFFFF"/>
        </w:rPr>
      </w:pPr>
      <w:r>
        <w:rPr>
          <w:rFonts w:ascii="仿宋_GB2312" w:eastAsia="仿宋_GB2312" w:hAnsi="微软雅黑" w:cs="仿宋_GB2312"/>
          <w:b/>
          <w:color w:val="444444"/>
          <w:sz w:val="28"/>
          <w:szCs w:val="28"/>
          <w:shd w:val="clear" w:color="auto" w:fill="FFFFFF"/>
        </w:rPr>
        <w:t>3．机构人员情况：</w:t>
      </w:r>
      <w:r w:rsidRPr="005D20FD">
        <w:rPr>
          <w:rFonts w:ascii="仿宋_GB2312" w:eastAsia="仿宋_GB2312" w:hAnsi="微软雅黑" w:cs="仿宋_GB2312" w:hint="eastAsia"/>
          <w:color w:val="444444"/>
          <w:kern w:val="0"/>
          <w:sz w:val="28"/>
          <w:szCs w:val="28"/>
          <w:shd w:val="clear" w:color="auto" w:fill="FFFFFF"/>
        </w:rPr>
        <w:t>单位共有行政编制为20名，机关后勤服务全额拨款事业编制2名。年末单位实有人员27名，含市纪委监委驻市委统战部纪检监察组5人，市海外联谊会办公室2人。邵阳市海外联谊会办公室为市委统战部管理的正科级事业单位，同市委统战部合署办公，事业编制3名，实有人数2人。</w:t>
      </w:r>
    </w:p>
    <w:p w:rsidR="009E2663" w:rsidRDefault="009E2663" w:rsidP="00A64D61">
      <w:pPr>
        <w:ind w:firstLineChars="200" w:firstLine="560"/>
        <w:rPr>
          <w:rFonts w:ascii="仿宋_GB2312" w:eastAsia="仿宋_GB2312" w:hAnsi="微软雅黑" w:cs="仿宋_GB2312"/>
          <w:color w:val="444444"/>
          <w:sz w:val="28"/>
          <w:szCs w:val="28"/>
          <w:shd w:val="clear" w:color="auto" w:fill="FFFFFF"/>
        </w:rPr>
      </w:pPr>
    </w:p>
    <w:p w:rsidR="009E2663" w:rsidRDefault="009E2663">
      <w:pPr>
        <w:pStyle w:val="a4"/>
        <w:widowControl/>
        <w:shd w:val="clear" w:color="auto" w:fill="FFFFFF"/>
        <w:spacing w:before="0" w:beforeAutospacing="0" w:after="0" w:afterAutospacing="0" w:line="579" w:lineRule="atLeast"/>
        <w:ind w:firstLine="643"/>
        <w:rPr>
          <w:rFonts w:ascii="微软雅黑" w:eastAsia="微软雅黑" w:hAnsi="微软雅黑" w:cs="微软雅黑"/>
          <w:color w:val="444444"/>
        </w:rPr>
      </w:pPr>
    </w:p>
    <w:p w:rsidR="009E2663" w:rsidRDefault="00563E85">
      <w:pPr>
        <w:widowControl/>
        <w:numPr>
          <w:ilvl w:val="0"/>
          <w:numId w:val="1"/>
        </w:numPr>
        <w:shd w:val="clear" w:color="auto" w:fill="FFFFFF"/>
        <w:spacing w:line="579" w:lineRule="atLeast"/>
        <w:ind w:firstLine="643"/>
        <w:jc w:val="left"/>
        <w:rPr>
          <w:rFonts w:ascii="楷体_GB2312" w:eastAsia="楷体_GB2312" w:hAnsi="微软雅黑" w:cs="楷体_GB2312"/>
          <w:b/>
          <w:color w:val="444444"/>
          <w:kern w:val="0"/>
          <w:sz w:val="28"/>
          <w:szCs w:val="28"/>
          <w:shd w:val="clear" w:color="auto" w:fill="FFFFFF"/>
        </w:rPr>
      </w:pPr>
      <w:r>
        <w:rPr>
          <w:rFonts w:ascii="楷体_GB2312" w:eastAsia="楷体_GB2312" w:hAnsi="微软雅黑" w:cs="楷体_GB2312"/>
          <w:b/>
          <w:color w:val="444444"/>
          <w:kern w:val="0"/>
          <w:sz w:val="28"/>
          <w:szCs w:val="28"/>
          <w:shd w:val="clear" w:color="auto" w:fill="FFFFFF"/>
        </w:rPr>
        <w:t>部门整体支出规模、使用方向和主要内容、涉及范围等。</w:t>
      </w:r>
    </w:p>
    <w:p w:rsidR="009E2663" w:rsidRDefault="00563E85">
      <w:pPr>
        <w:widowControl/>
        <w:shd w:val="clear" w:color="auto" w:fill="FFFFFF"/>
        <w:spacing w:line="579" w:lineRule="atLeast"/>
        <w:ind w:firstLine="640"/>
        <w:jc w:val="left"/>
        <w:rPr>
          <w:rFonts w:ascii="仿宋_GB2312" w:eastAsia="仿宋_GB2312" w:hAnsi="微软雅黑" w:cs="仿宋_GB2312"/>
          <w:color w:val="444444"/>
          <w:kern w:val="0"/>
          <w:sz w:val="28"/>
          <w:szCs w:val="28"/>
          <w:shd w:val="clear" w:color="auto" w:fill="FFFFFF"/>
        </w:rPr>
      </w:pPr>
      <w:r>
        <w:rPr>
          <w:rFonts w:ascii="仿宋_GB2312" w:eastAsia="仿宋_GB2312" w:hAnsi="微软雅黑" w:cs="仿宋_GB2312" w:hint="eastAsia"/>
          <w:color w:val="444444"/>
          <w:kern w:val="0"/>
          <w:sz w:val="28"/>
          <w:szCs w:val="28"/>
          <w:shd w:val="clear" w:color="auto" w:fill="FFFFFF"/>
        </w:rPr>
        <w:t>“收入支出决算总表”中本年年初预算数为633.48万元，调整后预算收入708.09万元,支出708.09万元，预算年中调整主要是人员工资调整、增加绩效考核、文明创建、综合治理奖金及离退休人员补贴预算。</w:t>
      </w:r>
    </w:p>
    <w:p w:rsidR="009E2663" w:rsidRDefault="00563E85">
      <w:pPr>
        <w:widowControl/>
        <w:shd w:val="clear" w:color="auto" w:fill="FFFFFF"/>
        <w:spacing w:line="579" w:lineRule="atLeast"/>
        <w:ind w:firstLine="640"/>
        <w:jc w:val="left"/>
        <w:rPr>
          <w:rFonts w:ascii="仿宋_GB2312" w:eastAsia="仿宋_GB2312" w:hAnsi="微软雅黑" w:cs="仿宋_GB2312"/>
          <w:color w:val="444444"/>
          <w:kern w:val="0"/>
          <w:sz w:val="28"/>
          <w:szCs w:val="28"/>
          <w:shd w:val="clear" w:color="auto" w:fill="FFFFFF"/>
        </w:rPr>
      </w:pPr>
      <w:r>
        <w:rPr>
          <w:rFonts w:ascii="仿宋_GB2312" w:eastAsia="仿宋_GB2312" w:hAnsi="微软雅黑" w:cs="仿宋_GB2312" w:hint="eastAsia"/>
          <w:color w:val="444444"/>
          <w:kern w:val="0"/>
          <w:sz w:val="28"/>
          <w:szCs w:val="28"/>
          <w:shd w:val="clear" w:color="auto" w:fill="FFFFFF"/>
        </w:rPr>
        <w:t>2021年部门整体支出708.09万元，其中基本支出505.23万元，项目支出202.86万元，基本支出主要是人员工资、商品和服务支出、社会保障和就业支出、卫生健康支出和住房保障支出等。项目支出主要是统战特费及工作经费及四同创建经费。</w:t>
      </w:r>
    </w:p>
    <w:p w:rsidR="009E2663" w:rsidRDefault="009E2663">
      <w:pPr>
        <w:widowControl/>
        <w:shd w:val="clear" w:color="auto" w:fill="FFFFFF"/>
        <w:spacing w:line="579" w:lineRule="atLeast"/>
        <w:jc w:val="left"/>
        <w:rPr>
          <w:rFonts w:ascii="黑体" w:eastAsia="黑体" w:hAnsi="宋体" w:cs="黑体"/>
          <w:color w:val="444444"/>
          <w:kern w:val="0"/>
          <w:sz w:val="28"/>
          <w:szCs w:val="28"/>
          <w:shd w:val="clear" w:color="auto" w:fill="FFFFFF"/>
        </w:rPr>
      </w:pPr>
    </w:p>
    <w:p w:rsidR="009E2663" w:rsidRDefault="00563E85">
      <w:pPr>
        <w:widowControl/>
        <w:shd w:val="clear" w:color="auto" w:fill="FFFFFF"/>
        <w:spacing w:line="579" w:lineRule="atLeast"/>
        <w:jc w:val="left"/>
        <w:rPr>
          <w:rFonts w:ascii="微软雅黑" w:eastAsia="微软雅黑" w:hAnsi="微软雅黑" w:cs="微软雅黑"/>
          <w:color w:val="444444"/>
          <w:sz w:val="24"/>
        </w:rPr>
      </w:pPr>
      <w:r>
        <w:rPr>
          <w:rFonts w:ascii="黑体" w:eastAsia="黑体" w:hAnsi="宋体" w:cs="黑体" w:hint="eastAsia"/>
          <w:color w:val="444444"/>
          <w:kern w:val="0"/>
          <w:sz w:val="28"/>
          <w:szCs w:val="28"/>
          <w:shd w:val="clear" w:color="auto" w:fill="FFFFFF"/>
        </w:rPr>
        <w:t>二、部门整体支出管理及使用情况</w:t>
      </w:r>
    </w:p>
    <w:p w:rsidR="009E2663" w:rsidRDefault="00563E85">
      <w:pPr>
        <w:widowControl/>
        <w:shd w:val="clear" w:color="auto" w:fill="FFFFFF"/>
        <w:spacing w:line="579" w:lineRule="atLeast"/>
        <w:jc w:val="left"/>
        <w:rPr>
          <w:rFonts w:ascii="微软雅黑" w:eastAsia="微软雅黑" w:hAnsi="微软雅黑" w:cs="微软雅黑"/>
          <w:color w:val="444444"/>
          <w:sz w:val="24"/>
        </w:rPr>
      </w:pPr>
      <w:r>
        <w:rPr>
          <w:rFonts w:ascii="楷体_GB2312" w:eastAsia="楷体_GB2312" w:hAnsi="微软雅黑" w:cs="楷体_GB2312"/>
          <w:b/>
          <w:color w:val="444444"/>
          <w:kern w:val="0"/>
          <w:sz w:val="28"/>
          <w:szCs w:val="28"/>
          <w:shd w:val="clear" w:color="auto" w:fill="FFFFFF"/>
        </w:rPr>
        <w:t>（一）预算执行情况</w:t>
      </w:r>
    </w:p>
    <w:p w:rsidR="009E2663" w:rsidRDefault="00563E85">
      <w:pPr>
        <w:widowControl/>
        <w:shd w:val="clear" w:color="auto" w:fill="FFFFFF"/>
        <w:spacing w:line="579" w:lineRule="atLeast"/>
        <w:ind w:firstLine="640"/>
        <w:jc w:val="left"/>
        <w:rPr>
          <w:rFonts w:ascii="微软雅黑" w:eastAsia="微软雅黑" w:hAnsi="微软雅黑" w:cs="微软雅黑"/>
          <w:color w:val="444444"/>
          <w:sz w:val="24"/>
        </w:rPr>
      </w:pPr>
      <w:r>
        <w:rPr>
          <w:rFonts w:ascii="宋体" w:hAnsi="宋体" w:cs="宋体" w:hint="eastAsia"/>
          <w:color w:val="444444"/>
          <w:kern w:val="0"/>
          <w:sz w:val="28"/>
          <w:szCs w:val="28"/>
          <w:shd w:val="clear" w:color="auto" w:fill="FFFFFF"/>
        </w:rPr>
        <w:t>2021</w:t>
      </w:r>
      <w:r>
        <w:rPr>
          <w:rFonts w:ascii="仿宋_GB2312" w:eastAsia="仿宋_GB2312" w:hAnsi="微软雅黑" w:cs="仿宋_GB2312"/>
          <w:color w:val="444444"/>
          <w:kern w:val="0"/>
          <w:sz w:val="28"/>
          <w:szCs w:val="28"/>
          <w:shd w:val="clear" w:color="auto" w:fill="FFFFFF"/>
        </w:rPr>
        <w:t>年初预算数为</w:t>
      </w:r>
      <w:r>
        <w:rPr>
          <w:rFonts w:ascii="宋体" w:eastAsia="仿宋_GB2312" w:hAnsi="宋体" w:cs="宋体" w:hint="eastAsia"/>
          <w:color w:val="444444"/>
          <w:kern w:val="0"/>
          <w:sz w:val="28"/>
          <w:szCs w:val="28"/>
          <w:shd w:val="clear" w:color="auto" w:fill="FFFFFF"/>
        </w:rPr>
        <w:t>633.48</w:t>
      </w:r>
      <w:r>
        <w:rPr>
          <w:rFonts w:ascii="仿宋_GB2312" w:eastAsia="仿宋_GB2312" w:hAnsi="微软雅黑" w:cs="仿宋_GB2312"/>
          <w:color w:val="444444"/>
          <w:kern w:val="0"/>
          <w:sz w:val="28"/>
          <w:szCs w:val="28"/>
          <w:shd w:val="clear" w:color="auto" w:fill="FFFFFF"/>
        </w:rPr>
        <w:t>万元，调整后预算收入</w:t>
      </w:r>
      <w:r>
        <w:rPr>
          <w:rFonts w:ascii="宋体" w:eastAsia="仿宋_GB2312" w:hAnsi="宋体" w:cs="宋体" w:hint="eastAsia"/>
          <w:color w:val="444444"/>
          <w:kern w:val="0"/>
          <w:sz w:val="28"/>
          <w:szCs w:val="28"/>
          <w:shd w:val="clear" w:color="auto" w:fill="FFFFFF"/>
        </w:rPr>
        <w:t>708.09</w:t>
      </w:r>
      <w:r>
        <w:rPr>
          <w:rFonts w:ascii="仿宋_GB2312" w:eastAsia="仿宋_GB2312" w:hAnsi="微软雅黑" w:cs="仿宋_GB2312"/>
          <w:color w:val="444444"/>
          <w:kern w:val="0"/>
          <w:sz w:val="28"/>
          <w:szCs w:val="28"/>
          <w:shd w:val="clear" w:color="auto" w:fill="FFFFFF"/>
        </w:rPr>
        <w:t>万元</w:t>
      </w:r>
      <w:r>
        <w:rPr>
          <w:rFonts w:ascii="宋体" w:hAnsi="宋体" w:cs="宋体" w:hint="eastAsia"/>
          <w:color w:val="444444"/>
          <w:kern w:val="0"/>
          <w:sz w:val="28"/>
          <w:szCs w:val="28"/>
          <w:shd w:val="clear" w:color="auto" w:fill="FFFFFF"/>
        </w:rPr>
        <w:t>,</w:t>
      </w:r>
      <w:r>
        <w:rPr>
          <w:rFonts w:ascii="仿宋_GB2312" w:eastAsia="仿宋_GB2312" w:hAnsi="微软雅黑" w:cs="仿宋_GB2312"/>
          <w:color w:val="444444"/>
          <w:kern w:val="0"/>
          <w:sz w:val="28"/>
          <w:szCs w:val="28"/>
          <w:shd w:val="clear" w:color="auto" w:fill="FFFFFF"/>
        </w:rPr>
        <w:t>支出</w:t>
      </w:r>
      <w:r>
        <w:rPr>
          <w:rFonts w:ascii="宋体" w:eastAsia="仿宋_GB2312" w:hAnsi="宋体" w:cs="宋体" w:hint="eastAsia"/>
          <w:color w:val="444444"/>
          <w:kern w:val="0"/>
          <w:sz w:val="28"/>
          <w:szCs w:val="28"/>
          <w:shd w:val="clear" w:color="auto" w:fill="FFFFFF"/>
        </w:rPr>
        <w:t>708.09</w:t>
      </w:r>
      <w:r>
        <w:rPr>
          <w:rFonts w:ascii="仿宋_GB2312" w:eastAsia="仿宋_GB2312" w:hAnsi="微软雅黑" w:cs="仿宋_GB2312"/>
          <w:color w:val="444444"/>
          <w:kern w:val="0"/>
          <w:sz w:val="28"/>
          <w:szCs w:val="28"/>
          <w:shd w:val="clear" w:color="auto" w:fill="FFFFFF"/>
        </w:rPr>
        <w:t>万元</w:t>
      </w:r>
      <w:r>
        <w:rPr>
          <w:rFonts w:ascii="仿宋_GB2312" w:eastAsia="仿宋_GB2312" w:hAnsi="微软雅黑" w:cs="仿宋_GB2312" w:hint="eastAsia"/>
          <w:color w:val="444444"/>
          <w:kern w:val="0"/>
          <w:sz w:val="28"/>
          <w:szCs w:val="28"/>
          <w:shd w:val="clear" w:color="auto" w:fill="FFFFFF"/>
        </w:rPr>
        <w:t>。</w:t>
      </w:r>
    </w:p>
    <w:p w:rsidR="009E2663" w:rsidRDefault="00563E85">
      <w:pPr>
        <w:widowControl/>
        <w:shd w:val="clear" w:color="auto" w:fill="FFFFFF"/>
        <w:spacing w:line="579" w:lineRule="atLeast"/>
        <w:jc w:val="left"/>
        <w:rPr>
          <w:rFonts w:ascii="微软雅黑" w:eastAsia="微软雅黑" w:hAnsi="微软雅黑" w:cs="微软雅黑"/>
          <w:color w:val="444444"/>
          <w:sz w:val="24"/>
        </w:rPr>
      </w:pPr>
      <w:r>
        <w:rPr>
          <w:rFonts w:ascii="楷体_GB2312" w:eastAsia="楷体_GB2312" w:hAnsi="微软雅黑" w:cs="楷体_GB2312"/>
          <w:b/>
          <w:color w:val="444444"/>
          <w:kern w:val="0"/>
          <w:sz w:val="28"/>
          <w:szCs w:val="28"/>
          <w:shd w:val="clear" w:color="auto" w:fill="FFFFFF"/>
        </w:rPr>
        <w:t>（二）基本支出</w:t>
      </w:r>
    </w:p>
    <w:p w:rsidR="009E2663" w:rsidRDefault="00563E85">
      <w:pPr>
        <w:widowControl/>
        <w:shd w:val="clear" w:color="auto" w:fill="FFFFFF"/>
        <w:spacing w:line="579" w:lineRule="atLeast"/>
        <w:ind w:firstLine="640"/>
        <w:jc w:val="left"/>
        <w:rPr>
          <w:rFonts w:ascii="仿宋_GB2312" w:eastAsia="仿宋_GB2312" w:hAnsi="微软雅黑" w:cs="仿宋_GB2312"/>
          <w:color w:val="444444"/>
          <w:kern w:val="0"/>
          <w:sz w:val="28"/>
          <w:szCs w:val="28"/>
          <w:shd w:val="clear" w:color="auto" w:fill="FFFFFF"/>
        </w:rPr>
      </w:pPr>
      <w:r>
        <w:rPr>
          <w:rFonts w:ascii="仿宋_GB2312" w:eastAsia="仿宋_GB2312" w:hAnsi="微软雅黑" w:cs="仿宋_GB2312" w:hint="eastAsia"/>
          <w:color w:val="444444"/>
          <w:kern w:val="0"/>
          <w:sz w:val="28"/>
          <w:szCs w:val="28"/>
          <w:shd w:val="clear" w:color="auto" w:fill="FFFFFF"/>
        </w:rPr>
        <w:t>2021年部门整体支出708.09万元，其中基本支出505.23万元，项目支出202.86万元。</w:t>
      </w:r>
    </w:p>
    <w:p w:rsidR="009E2663" w:rsidRDefault="00563E85">
      <w:pPr>
        <w:rPr>
          <w:rFonts w:ascii="仿宋_GB2312" w:eastAsia="仿宋_GB2312" w:hAnsi="微软雅黑" w:cs="仿宋_GB2312"/>
          <w:color w:val="444444"/>
          <w:kern w:val="0"/>
          <w:sz w:val="28"/>
          <w:szCs w:val="28"/>
          <w:shd w:val="clear" w:color="auto" w:fill="FFFFFF"/>
        </w:rPr>
      </w:pPr>
      <w:r>
        <w:rPr>
          <w:rFonts w:ascii="仿宋_GB2312" w:eastAsia="仿宋_GB2312" w:hAnsi="微软雅黑" w:cs="仿宋_GB2312" w:hint="eastAsia"/>
          <w:color w:val="444444"/>
          <w:kern w:val="0"/>
          <w:sz w:val="28"/>
          <w:szCs w:val="28"/>
          <w:shd w:val="clear" w:color="auto" w:fill="FFFFFF"/>
        </w:rPr>
        <w:t xml:space="preserve"> 1、基本支出：2021年度财政拨款基本支出505.23万元。其中：人员经费431.24万元，占基本支出的85.35%，主要包括：基本工资、津贴补贴、伙食补助费、绩效工资、机关事业单位基本养老保险</w:t>
      </w:r>
      <w:r>
        <w:rPr>
          <w:rFonts w:ascii="仿宋_GB2312" w:eastAsia="仿宋_GB2312" w:hAnsi="微软雅黑" w:cs="仿宋_GB2312" w:hint="eastAsia"/>
          <w:color w:val="444444"/>
          <w:kern w:val="0"/>
          <w:sz w:val="28"/>
          <w:szCs w:val="28"/>
          <w:shd w:val="clear" w:color="auto" w:fill="FFFFFF"/>
        </w:rPr>
        <w:lastRenderedPageBreak/>
        <w:t>缴费、职业年金缴费、其他社会保障缴费、其他工资福利支出、离休费、退休费、抚恤金、生活补助、医疗费、奖励金、住房公积金、采暖补贴、物业服务补贴、其他对个人和家庭的补助支出；公用经费73.99万元，占基本支出的14.65%，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w:t>
      </w:r>
    </w:p>
    <w:p w:rsidR="009E2663" w:rsidRDefault="00563E85">
      <w:pPr>
        <w:rPr>
          <w:rFonts w:ascii="仿宋_GB2312" w:eastAsia="仿宋_GB2312" w:hAnsi="微软雅黑" w:cs="仿宋_GB2312"/>
          <w:color w:val="444444"/>
          <w:kern w:val="0"/>
          <w:sz w:val="28"/>
          <w:szCs w:val="28"/>
          <w:shd w:val="clear" w:color="auto" w:fill="FFFFFF"/>
        </w:rPr>
      </w:pPr>
      <w:r>
        <w:rPr>
          <w:rFonts w:ascii="仿宋_GB2312" w:eastAsia="仿宋_GB2312" w:hAnsi="微软雅黑" w:cs="仿宋_GB2312" w:hint="eastAsia"/>
          <w:color w:val="444444"/>
          <w:kern w:val="0"/>
          <w:sz w:val="28"/>
          <w:szCs w:val="28"/>
          <w:shd w:val="clear" w:color="auto" w:fill="FFFFFF"/>
        </w:rPr>
        <w:t>更新、其他资本性支出。</w:t>
      </w:r>
    </w:p>
    <w:p w:rsidR="009E2663" w:rsidRDefault="00563E85">
      <w:pPr>
        <w:rPr>
          <w:rFonts w:ascii="仿宋_GB2312" w:eastAsia="仿宋_GB2312" w:hAnsi="微软雅黑" w:cs="仿宋_GB2312"/>
          <w:color w:val="444444"/>
          <w:kern w:val="0"/>
          <w:sz w:val="28"/>
          <w:szCs w:val="28"/>
          <w:shd w:val="clear" w:color="auto" w:fill="FFFFFF"/>
        </w:rPr>
      </w:pPr>
      <w:r>
        <w:rPr>
          <w:rFonts w:ascii="仿宋_GB2312" w:eastAsia="仿宋_GB2312" w:hAnsi="微软雅黑" w:cs="仿宋_GB2312" w:hint="eastAsia"/>
          <w:color w:val="444444"/>
          <w:kern w:val="0"/>
          <w:sz w:val="28"/>
          <w:szCs w:val="28"/>
          <w:shd w:val="clear" w:color="auto" w:fill="FFFFFF"/>
        </w:rPr>
        <w:t>2、项目支出</w:t>
      </w:r>
    </w:p>
    <w:p w:rsidR="009E2663" w:rsidRDefault="00563E85">
      <w:pPr>
        <w:widowControl/>
        <w:shd w:val="clear" w:color="auto" w:fill="FFFFFF"/>
        <w:spacing w:line="579" w:lineRule="atLeast"/>
        <w:ind w:firstLine="640"/>
        <w:jc w:val="left"/>
        <w:rPr>
          <w:rFonts w:ascii="仿宋_GB2312" w:eastAsia="仿宋_GB2312" w:hAnsi="微软雅黑" w:cs="仿宋_GB2312"/>
          <w:color w:val="444444"/>
          <w:kern w:val="0"/>
          <w:sz w:val="28"/>
          <w:szCs w:val="28"/>
          <w:shd w:val="clear" w:color="auto" w:fill="FFFFFF"/>
        </w:rPr>
      </w:pPr>
      <w:r>
        <w:rPr>
          <w:rFonts w:ascii="仿宋_GB2312" w:eastAsia="仿宋_GB2312" w:hAnsi="微软雅黑" w:cs="仿宋_GB2312" w:hint="eastAsia"/>
          <w:color w:val="444444"/>
          <w:kern w:val="0"/>
          <w:sz w:val="28"/>
          <w:szCs w:val="28"/>
          <w:shd w:val="clear" w:color="auto" w:fill="FFFFFF"/>
        </w:rPr>
        <w:t>2021年度</w:t>
      </w:r>
      <w:r>
        <w:rPr>
          <w:rFonts w:ascii="仿宋_GB2312" w:eastAsia="仿宋_GB2312" w:hAnsi="微软雅黑" w:cs="仿宋_GB2312"/>
          <w:color w:val="444444"/>
          <w:kern w:val="0"/>
          <w:sz w:val="28"/>
          <w:szCs w:val="28"/>
          <w:shd w:val="clear" w:color="auto" w:fill="FFFFFF"/>
        </w:rPr>
        <w:t>本单位项目</w:t>
      </w:r>
      <w:r>
        <w:rPr>
          <w:rFonts w:ascii="仿宋_GB2312" w:eastAsia="仿宋_GB2312" w:hAnsi="微软雅黑" w:cs="仿宋_GB2312" w:hint="eastAsia"/>
          <w:color w:val="444444"/>
          <w:kern w:val="0"/>
          <w:sz w:val="28"/>
          <w:szCs w:val="28"/>
          <w:shd w:val="clear" w:color="auto" w:fill="FFFFFF"/>
        </w:rPr>
        <w:t>支出202.86万元，项目支出</w:t>
      </w:r>
      <w:r>
        <w:rPr>
          <w:rFonts w:ascii="仿宋_GB2312" w:eastAsia="仿宋_GB2312" w:hAnsi="微软雅黑" w:cs="仿宋_GB2312"/>
          <w:color w:val="444444"/>
          <w:kern w:val="0"/>
          <w:sz w:val="28"/>
          <w:szCs w:val="28"/>
          <w:shd w:val="clear" w:color="auto" w:fill="FFFFFF"/>
        </w:rPr>
        <w:t>为专项经费全部用于专项工作，严格遵循项目管理制度，</w:t>
      </w:r>
      <w:r>
        <w:rPr>
          <w:rFonts w:ascii="仿宋_GB2312" w:eastAsia="仿宋_GB2312" w:hAnsi="微软雅黑" w:cs="仿宋_GB2312" w:hint="eastAsia"/>
          <w:color w:val="444444"/>
          <w:kern w:val="0"/>
          <w:sz w:val="28"/>
          <w:szCs w:val="28"/>
          <w:shd w:val="clear" w:color="auto" w:fill="FFFFFF"/>
        </w:rPr>
        <w:t>包括统战特费、工作经费及四同创建资金。</w:t>
      </w:r>
    </w:p>
    <w:p w:rsidR="009E2663" w:rsidRDefault="00563E85">
      <w:pPr>
        <w:widowControl/>
        <w:shd w:val="clear" w:color="auto" w:fill="FFFFFF"/>
        <w:spacing w:line="579" w:lineRule="atLeast"/>
        <w:jc w:val="left"/>
        <w:rPr>
          <w:rFonts w:ascii="仿宋_GB2312" w:eastAsia="仿宋_GB2312" w:hAnsi="微软雅黑" w:cs="仿宋_GB2312"/>
          <w:color w:val="444444"/>
          <w:kern w:val="0"/>
          <w:sz w:val="28"/>
          <w:szCs w:val="28"/>
          <w:shd w:val="clear" w:color="auto" w:fill="FFFFFF"/>
        </w:rPr>
      </w:pPr>
      <w:r>
        <w:rPr>
          <w:rFonts w:ascii="仿宋_GB2312" w:eastAsia="仿宋_GB2312" w:hAnsi="微软雅黑" w:cs="仿宋_GB2312" w:hint="eastAsia"/>
          <w:color w:val="444444"/>
          <w:kern w:val="0"/>
          <w:sz w:val="28"/>
          <w:szCs w:val="28"/>
          <w:shd w:val="clear" w:color="auto" w:fill="FFFFFF"/>
        </w:rPr>
        <w:t>3、三公经费的支出情况</w:t>
      </w:r>
    </w:p>
    <w:p w:rsidR="009E2663" w:rsidRDefault="00563E85">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jc w:val="both"/>
        <w:rPr>
          <w:rFonts w:ascii="仿宋_GB2312" w:eastAsia="仿宋_GB2312" w:hAnsi="微软雅黑" w:cs="仿宋_GB2312" w:hint="default"/>
          <w:color w:val="444444"/>
          <w:sz w:val="28"/>
          <w:szCs w:val="28"/>
          <w:shd w:val="clear" w:color="auto" w:fill="FFFFFF"/>
        </w:rPr>
      </w:pPr>
      <w:r>
        <w:rPr>
          <w:rFonts w:ascii="仿宋_GB2312" w:eastAsia="仿宋_GB2312" w:hAnsi="微软雅黑" w:cs="仿宋_GB2312"/>
          <w:color w:val="444444"/>
          <w:sz w:val="28"/>
          <w:szCs w:val="28"/>
          <w:shd w:val="clear" w:color="auto" w:fill="FFFFFF"/>
        </w:rPr>
        <w:t>按照财政要求，2021年预决算及三公经费均在网站上实行公开。严格控制三公经费支出，公务接待报账必须附公函、招待审批单及菜单。从三公经费的使用情况来看，2021年度公务招待费预算4.32万元、出国（境）费0元、公务车运行费0万元，分别占机关运行经费73.99万元的5.84%、0.00%、0.00%， 2021年“三公”经费预算较2020年减少5.02万元，下降53.75，原因是：2021年单位公务车已无偿调拨给机关事务管理局，没有公务用车运行费预算。</w:t>
      </w:r>
    </w:p>
    <w:p w:rsidR="009E2663" w:rsidRDefault="00563E85">
      <w:pPr>
        <w:widowControl/>
        <w:shd w:val="clear" w:color="auto" w:fill="FFFFFF"/>
        <w:spacing w:line="579" w:lineRule="atLeast"/>
        <w:jc w:val="left"/>
        <w:rPr>
          <w:rFonts w:ascii="仿宋_GB2312" w:eastAsia="仿宋_GB2312" w:hAnsi="微软雅黑" w:cs="仿宋_GB2312"/>
          <w:color w:val="444444"/>
          <w:kern w:val="0"/>
          <w:sz w:val="28"/>
          <w:szCs w:val="28"/>
          <w:shd w:val="clear" w:color="auto" w:fill="FFFFFF"/>
        </w:rPr>
      </w:pPr>
      <w:r>
        <w:rPr>
          <w:rFonts w:ascii="仿宋_GB2312" w:eastAsia="仿宋_GB2312" w:hAnsi="微软雅黑" w:cs="仿宋_GB2312" w:hint="eastAsia"/>
          <w:color w:val="444444"/>
          <w:kern w:val="0"/>
          <w:sz w:val="28"/>
          <w:szCs w:val="28"/>
          <w:shd w:val="clear" w:color="auto" w:fill="FFFFFF"/>
        </w:rPr>
        <w:t xml:space="preserve">  4、资金管理情况  </w:t>
      </w:r>
    </w:p>
    <w:p w:rsidR="009E2663" w:rsidRDefault="00563E85">
      <w:pPr>
        <w:widowControl/>
        <w:shd w:val="clear" w:color="auto" w:fill="FFFFFF"/>
        <w:spacing w:line="579" w:lineRule="atLeast"/>
        <w:jc w:val="left"/>
        <w:rPr>
          <w:rFonts w:ascii="仿宋_GB2312" w:eastAsia="仿宋_GB2312" w:hAnsi="微软雅黑" w:cs="仿宋_GB2312"/>
          <w:color w:val="444444"/>
          <w:kern w:val="0"/>
          <w:sz w:val="28"/>
          <w:szCs w:val="28"/>
          <w:shd w:val="clear" w:color="auto" w:fill="FFFFFF"/>
        </w:rPr>
      </w:pPr>
      <w:r>
        <w:rPr>
          <w:rFonts w:ascii="仿宋_GB2312" w:eastAsia="仿宋_GB2312" w:hAnsi="微软雅黑" w:cs="仿宋_GB2312" w:hint="eastAsia"/>
          <w:color w:val="444444"/>
          <w:kern w:val="0"/>
          <w:sz w:val="28"/>
          <w:szCs w:val="28"/>
          <w:shd w:val="clear" w:color="auto" w:fill="FFFFFF"/>
        </w:rPr>
        <w:lastRenderedPageBreak/>
        <w:t xml:space="preserve"> 根据《会计法》、《预算法》、《行政单位会计制度》等法律和财政部及省财政厅有关财务规章的规定，我部出台《关于进一步加强财务管理的通知》；根据《邵阳市党政机关国内公务接待管理细则》、《邵阳市本级行政事业单位办公设备设施配置标准》、《邵阳市市直机关培训费、差旅费、会议费管理办法》等文件，我单位又完善了市委统战部财务管理制度。制度明确了经费审批权限和程序，规范了财务报账流程，对公务接待、公务租车、差旅费、培训费等开支进一步细化管理，确保资金在制度下运行、在监督下运行、在阳光下运行。 </w:t>
      </w:r>
    </w:p>
    <w:p w:rsidR="009E2663" w:rsidRDefault="00563E85">
      <w:pPr>
        <w:widowControl/>
        <w:shd w:val="clear" w:color="auto" w:fill="FFFFFF"/>
        <w:spacing w:line="579" w:lineRule="atLeast"/>
        <w:jc w:val="left"/>
        <w:rPr>
          <w:rFonts w:ascii="楷体_GB2312" w:eastAsia="楷体_GB2312" w:hAnsi="微软雅黑" w:cs="楷体_GB2312"/>
          <w:b/>
          <w:color w:val="444444"/>
          <w:kern w:val="0"/>
          <w:sz w:val="28"/>
          <w:szCs w:val="28"/>
          <w:shd w:val="clear" w:color="auto" w:fill="FFFFFF"/>
        </w:rPr>
      </w:pPr>
      <w:r>
        <w:rPr>
          <w:rFonts w:ascii="楷体_GB2312" w:eastAsia="楷体_GB2312" w:hAnsi="微软雅黑" w:cs="楷体_GB2312" w:hint="eastAsia"/>
          <w:b/>
          <w:color w:val="444444"/>
          <w:kern w:val="0"/>
          <w:sz w:val="28"/>
          <w:szCs w:val="28"/>
          <w:shd w:val="clear" w:color="auto" w:fill="FFFFFF"/>
        </w:rPr>
        <w:t>三、资产管理情况</w:t>
      </w:r>
    </w:p>
    <w:p w:rsidR="009E2663" w:rsidRDefault="00563E85">
      <w:pPr>
        <w:widowControl/>
        <w:shd w:val="clear" w:color="auto" w:fill="FFFFFF"/>
        <w:spacing w:line="579" w:lineRule="atLeast"/>
        <w:jc w:val="left"/>
        <w:rPr>
          <w:rFonts w:ascii="仿宋_GB2312" w:eastAsia="仿宋_GB2312" w:hAnsi="微软雅黑" w:cs="仿宋_GB2312"/>
          <w:color w:val="444444"/>
          <w:kern w:val="0"/>
          <w:sz w:val="28"/>
          <w:szCs w:val="28"/>
          <w:shd w:val="clear" w:color="auto" w:fill="FFFFFF"/>
        </w:rPr>
      </w:pPr>
      <w:r>
        <w:rPr>
          <w:rFonts w:ascii="仿宋_GB2312" w:eastAsia="仿宋_GB2312" w:hAnsi="微软雅黑" w:cs="仿宋_GB2312" w:hint="eastAsia"/>
          <w:color w:val="444444"/>
          <w:kern w:val="0"/>
          <w:sz w:val="28"/>
          <w:szCs w:val="28"/>
          <w:shd w:val="clear" w:color="auto" w:fill="FFFFFF"/>
        </w:rPr>
        <w:t xml:space="preserve">   本单位资产采购及管理分岗位负责，资产配置、管理、处置严格按照政府采购及资产管理办法程序办理。资产系统与会计账务的固定资产数据一致。我部资产管理由办公室负责，资产采购按程序实行报批采购，采购后登记造册，再派发到相关科室。我部资产配置合理、保存完整、处置规范、账实相符。2020年我部全面开展固定资产清理工作，对固定资产进行盘点，对调拨和处置的固定资产进行了账务处理。</w:t>
      </w:r>
    </w:p>
    <w:p w:rsidR="009E2663" w:rsidRDefault="00563E85">
      <w:pPr>
        <w:widowControl/>
        <w:shd w:val="clear" w:color="auto" w:fill="FFFFFF"/>
        <w:spacing w:line="579" w:lineRule="atLeast"/>
        <w:jc w:val="left"/>
        <w:rPr>
          <w:rFonts w:ascii="楷体_GB2312" w:eastAsia="楷体_GB2312" w:hAnsi="微软雅黑" w:cs="楷体_GB2312"/>
          <w:b/>
          <w:color w:val="444444"/>
          <w:kern w:val="0"/>
          <w:sz w:val="28"/>
          <w:szCs w:val="28"/>
          <w:shd w:val="clear" w:color="auto" w:fill="FFFFFF"/>
        </w:rPr>
      </w:pPr>
      <w:r>
        <w:rPr>
          <w:rFonts w:ascii="楷体_GB2312" w:eastAsia="楷体_GB2312" w:hAnsi="微软雅黑" w:cs="楷体_GB2312" w:hint="eastAsia"/>
          <w:b/>
          <w:color w:val="444444"/>
          <w:kern w:val="0"/>
          <w:sz w:val="28"/>
          <w:szCs w:val="28"/>
          <w:shd w:val="clear" w:color="auto" w:fill="FFFFFF"/>
        </w:rPr>
        <w:t>四、绩效评价工作情况</w:t>
      </w:r>
    </w:p>
    <w:p w:rsidR="009E2663" w:rsidRDefault="00563E85">
      <w:pPr>
        <w:widowControl/>
        <w:shd w:val="clear" w:color="auto" w:fill="FFFFFF"/>
        <w:spacing w:line="579" w:lineRule="atLeast"/>
        <w:jc w:val="left"/>
        <w:rPr>
          <w:rFonts w:ascii="仿宋_GB2312" w:eastAsia="仿宋_GB2312" w:hAnsi="微软雅黑" w:cs="仿宋_GB2312"/>
          <w:color w:val="444444"/>
          <w:kern w:val="0"/>
          <w:sz w:val="28"/>
          <w:szCs w:val="28"/>
          <w:shd w:val="clear" w:color="auto" w:fill="FFFFFF"/>
        </w:rPr>
      </w:pPr>
      <w:r>
        <w:rPr>
          <w:rFonts w:ascii="仿宋_GB2312" w:eastAsia="仿宋_GB2312" w:hAnsi="微软雅黑" w:cs="仿宋_GB2312" w:hint="eastAsia"/>
          <w:color w:val="444444"/>
          <w:kern w:val="0"/>
          <w:sz w:val="28"/>
          <w:szCs w:val="28"/>
          <w:shd w:val="clear" w:color="auto" w:fill="FFFFFF"/>
        </w:rPr>
        <w:t xml:space="preserve">  我部整体绩效评价工作情况：一是职责履行良好。积极开展统战特别工作，按时按质完成统战工作调研，支持各民主党派开展活动，完善自身组织建设；促进民族宗教领域和谐稳定；促进非公经济健康发展；做好全市海外统战工作，积极联络港澳台侨人士，做好新的社会阶层人士等各领域统战业务工作。充分发挥统一战线优势，为邵阳“二</w:t>
      </w:r>
      <w:r>
        <w:rPr>
          <w:rFonts w:ascii="仿宋_GB2312" w:eastAsia="仿宋_GB2312" w:hAnsi="微软雅黑" w:cs="仿宋_GB2312" w:hint="eastAsia"/>
          <w:color w:val="444444"/>
          <w:kern w:val="0"/>
          <w:sz w:val="28"/>
          <w:szCs w:val="28"/>
          <w:shd w:val="clear" w:color="auto" w:fill="FFFFFF"/>
        </w:rPr>
        <w:lastRenderedPageBreak/>
        <w:t>中心一枢纽”战略献智献策。二是统战成员凝心聚力，为邵阳经济发展做出贡献；统战宣传影响力进一步扩大；统战系统单位、统战成员及服务对象对统战部在职责履行方面的满意情况。三是部门预算要与履职目标衔接紧密，编制依据充分、数据详实、结构优化、细化可执行；部门本年度预算安排的重点项目支出与部门项目总支出的比率大于90%；严格“三公经费”管理和使用。四是部门为加强预算管理、规范财务行为而制定的管理制度健全完整；严格按照政府信息公开有关规定公开相关预决算信息；部门使用预算资金符合相关的预算财务管理制度的规定。</w:t>
      </w:r>
    </w:p>
    <w:p w:rsidR="009E2663" w:rsidRDefault="00563E85">
      <w:pPr>
        <w:widowControl/>
        <w:shd w:val="clear" w:color="auto" w:fill="FFFFFF"/>
        <w:spacing w:line="579" w:lineRule="atLeast"/>
        <w:jc w:val="left"/>
        <w:rPr>
          <w:rFonts w:ascii="楷体_GB2312" w:eastAsia="楷体_GB2312" w:hAnsi="微软雅黑" w:cs="楷体_GB2312"/>
          <w:b/>
          <w:color w:val="444444"/>
          <w:kern w:val="0"/>
          <w:sz w:val="28"/>
          <w:szCs w:val="28"/>
          <w:shd w:val="clear" w:color="auto" w:fill="FFFFFF"/>
        </w:rPr>
      </w:pPr>
      <w:r>
        <w:rPr>
          <w:rFonts w:ascii="楷体_GB2312" w:eastAsia="楷体_GB2312" w:hAnsi="微软雅黑" w:cs="楷体_GB2312" w:hint="eastAsia"/>
          <w:b/>
          <w:color w:val="444444"/>
          <w:kern w:val="0"/>
          <w:sz w:val="28"/>
          <w:szCs w:val="28"/>
          <w:shd w:val="clear" w:color="auto" w:fill="FFFFFF"/>
        </w:rPr>
        <w:t>五、综合评价情况及评价结论</w:t>
      </w:r>
    </w:p>
    <w:p w:rsidR="009E2663" w:rsidRDefault="00563E85">
      <w:pPr>
        <w:widowControl/>
        <w:shd w:val="clear" w:color="auto" w:fill="FFFFFF"/>
        <w:spacing w:line="579" w:lineRule="atLeast"/>
        <w:jc w:val="left"/>
        <w:rPr>
          <w:rFonts w:ascii="仿宋_GB2312" w:eastAsia="仿宋_GB2312" w:hAnsi="微软雅黑" w:cs="仿宋_GB2312"/>
          <w:color w:val="444444"/>
          <w:kern w:val="0"/>
          <w:sz w:val="28"/>
          <w:szCs w:val="28"/>
          <w:shd w:val="clear" w:color="auto" w:fill="FFFFFF"/>
        </w:rPr>
      </w:pPr>
      <w:r>
        <w:rPr>
          <w:rFonts w:ascii="仿宋_GB2312" w:eastAsia="仿宋_GB2312" w:hAnsi="微软雅黑" w:cs="仿宋_GB2312" w:hint="eastAsia"/>
          <w:color w:val="444444"/>
          <w:kern w:val="0"/>
          <w:sz w:val="28"/>
          <w:szCs w:val="28"/>
          <w:shd w:val="clear" w:color="auto" w:fill="FFFFFF"/>
        </w:rPr>
        <w:t xml:space="preserve">   今年以来在市委、市政府的正确领导下，我们紧紧围绕年度目标任务，团结拼搏，锐意进取，扎实工作，各项工作任务稳步推进。1.绩效目标的实现情况。邵阳市委统一战线各项工作平稳有序发展。2.经济效益。民主党派、非公经济、新的社会阶层等统战人士在脱贫攻坚、助学济困、社会服务等方面彰显作用。3.社会效益。统一战线宣传影响力进一步扩大。4.行政效能：统战部机关不断改善行政管理、严格经费及资产管理，厉行节约，提高了行政效率，降低了行政成本。根据对我部部门整体支出项目绩效评价指标体系和绩效情况的检查，我部部门整体绩效自评分9</w:t>
      </w:r>
      <w:r w:rsidR="005D20FD">
        <w:rPr>
          <w:rFonts w:ascii="仿宋_GB2312" w:eastAsia="仿宋_GB2312" w:hAnsi="微软雅黑" w:cs="仿宋_GB2312" w:hint="eastAsia"/>
          <w:color w:val="444444"/>
          <w:kern w:val="0"/>
          <w:sz w:val="28"/>
          <w:szCs w:val="28"/>
          <w:shd w:val="clear" w:color="auto" w:fill="FFFFFF"/>
        </w:rPr>
        <w:t>9</w:t>
      </w:r>
      <w:r>
        <w:rPr>
          <w:rFonts w:ascii="仿宋_GB2312" w:eastAsia="仿宋_GB2312" w:hAnsi="微软雅黑" w:cs="仿宋_GB2312" w:hint="eastAsia"/>
          <w:color w:val="444444"/>
          <w:kern w:val="0"/>
          <w:sz w:val="28"/>
          <w:szCs w:val="28"/>
          <w:shd w:val="clear" w:color="auto" w:fill="FFFFFF"/>
        </w:rPr>
        <w:t>分。</w:t>
      </w:r>
    </w:p>
    <w:p w:rsidR="009E2663" w:rsidRDefault="00563E85">
      <w:pPr>
        <w:widowControl/>
        <w:numPr>
          <w:ilvl w:val="0"/>
          <w:numId w:val="2"/>
        </w:numPr>
        <w:shd w:val="clear" w:color="auto" w:fill="FFFFFF"/>
        <w:spacing w:line="579" w:lineRule="atLeast"/>
        <w:jc w:val="left"/>
        <w:rPr>
          <w:rFonts w:ascii="楷体_GB2312" w:eastAsia="楷体_GB2312" w:hAnsi="微软雅黑" w:cs="楷体_GB2312"/>
          <w:b/>
          <w:color w:val="444444"/>
          <w:kern w:val="0"/>
          <w:sz w:val="28"/>
          <w:szCs w:val="28"/>
          <w:shd w:val="clear" w:color="auto" w:fill="FFFFFF"/>
        </w:rPr>
      </w:pPr>
      <w:r>
        <w:rPr>
          <w:rFonts w:ascii="楷体_GB2312" w:eastAsia="楷体_GB2312" w:hAnsi="微软雅黑" w:cs="楷体_GB2312" w:hint="eastAsia"/>
          <w:b/>
          <w:color w:val="444444"/>
          <w:kern w:val="0"/>
          <w:sz w:val="28"/>
          <w:szCs w:val="28"/>
          <w:shd w:val="clear" w:color="auto" w:fill="FFFFFF"/>
        </w:rPr>
        <w:t>部门整体支出主要绩效</w:t>
      </w:r>
    </w:p>
    <w:p w:rsidR="009E2663" w:rsidRDefault="00563E85">
      <w:pPr>
        <w:widowControl/>
        <w:shd w:val="clear" w:color="auto" w:fill="FFFFFF"/>
        <w:spacing w:line="579" w:lineRule="atLeast"/>
        <w:jc w:val="left"/>
        <w:rPr>
          <w:rFonts w:ascii="仿宋_GB2312" w:eastAsia="仿宋_GB2312" w:hAnsi="微软雅黑" w:cs="仿宋_GB2312"/>
          <w:color w:val="444444"/>
          <w:kern w:val="0"/>
          <w:sz w:val="28"/>
          <w:szCs w:val="28"/>
          <w:shd w:val="clear" w:color="auto" w:fill="FFFFFF"/>
        </w:rPr>
      </w:pPr>
      <w:r>
        <w:rPr>
          <w:rFonts w:ascii="仿宋_GB2312" w:eastAsia="仿宋_GB2312" w:hAnsi="微软雅黑" w:cs="仿宋_GB2312" w:hint="eastAsia"/>
          <w:color w:val="444444"/>
          <w:kern w:val="0"/>
          <w:sz w:val="28"/>
          <w:szCs w:val="28"/>
          <w:shd w:val="clear" w:color="auto" w:fill="FFFFFF"/>
        </w:rPr>
        <w:t xml:space="preserve">    今年来，在省委统战部的精心指导和市委的坚强领导下，邵阳市统一战线深入学习贯彻习近平总书记关于加强和改进统一战线工作</w:t>
      </w:r>
      <w:r>
        <w:rPr>
          <w:rFonts w:ascii="仿宋_GB2312" w:eastAsia="仿宋_GB2312" w:hAnsi="微软雅黑" w:cs="仿宋_GB2312" w:hint="eastAsia"/>
          <w:color w:val="444444"/>
          <w:kern w:val="0"/>
          <w:sz w:val="28"/>
          <w:szCs w:val="28"/>
          <w:shd w:val="clear" w:color="auto" w:fill="FFFFFF"/>
        </w:rPr>
        <w:lastRenderedPageBreak/>
        <w:t>的重要思想，以贯彻落实《中国共产党统一战线工作条例》为主线，坚持守正创新、强化工作举措，突出抓好民主党派和无党派人士、民营经济、民族宗教、民力汇聚等四项重点工作。我市着力打造新的社会阶层人士统战工作实践创新基地、多措并举铸牢中华民族共同体意识等经验做法，被《中国统一战线》杂志宣传推介，得到了省委领导的肯定性批示。</w:t>
      </w:r>
    </w:p>
    <w:p w:rsidR="009E2663" w:rsidRDefault="00563E85">
      <w:pPr>
        <w:widowControl/>
        <w:shd w:val="clear" w:color="auto" w:fill="FFFFFF"/>
        <w:spacing w:line="579" w:lineRule="atLeast"/>
        <w:jc w:val="left"/>
        <w:rPr>
          <w:rFonts w:ascii="仿宋_GB2312" w:eastAsia="仿宋_GB2312" w:hAnsi="微软雅黑" w:cs="仿宋_GB2312"/>
          <w:color w:val="444444"/>
          <w:kern w:val="0"/>
          <w:sz w:val="28"/>
          <w:szCs w:val="28"/>
          <w:shd w:val="clear" w:color="auto" w:fill="FFFFFF"/>
        </w:rPr>
      </w:pPr>
      <w:r>
        <w:rPr>
          <w:rFonts w:ascii="仿宋_GB2312" w:eastAsia="仿宋_GB2312" w:hAnsi="微软雅黑" w:cs="仿宋_GB2312" w:hint="eastAsia"/>
          <w:color w:val="444444"/>
          <w:kern w:val="0"/>
          <w:sz w:val="28"/>
          <w:szCs w:val="28"/>
          <w:shd w:val="clear" w:color="auto" w:fill="FFFFFF"/>
        </w:rPr>
        <w:t>一、聚焦民主党派和无党派人士工作，着力提升多党合作效能。通过强化引领、支持履职、建强队伍等措施，推动多党合作制度效能全面提升。一是加强政治引领聚共识。把对党外人士的思想政治引领作为常抓不懈的首要任务，以开展“学党史、筑同心、跟党走”主题教育为抓手，深化以中共党史为重点的“四史”学习教育，在市县两级党校和有关高校举办党外人士培训班13期、培训1300余人，市级层面开展各类座谈会、宣讲会、通报会30余场次，组织引导党外人士深入学习领会习近平总书记“七一”重要讲话精神，深入学习贯彻党的十九届六中全会精神和省、市党代会精神。市县两级党委常委带头与286名党外代表人士联谊交友，引导党外人士不断增强“四个意识”、坚定“四个自信”、做到“两个维护”。二是支持建言资政展作为。支持民主党派、工商联和无党派人士围绕“三高四新”、乡村振兴等重大发展战略部署，组织开展了参政议政专题调研，提出有价值、有影响的调研报告22篇、意见建议100余条，为党委政府科学决策提供了有力参考；扎实推动实施2021年度邵阳市政党协商计划，以情况通报会、党外人士座谈会、参政议政成果汇报会等形式，提升</w:t>
      </w:r>
      <w:r>
        <w:rPr>
          <w:rFonts w:ascii="仿宋_GB2312" w:eastAsia="仿宋_GB2312" w:hAnsi="微软雅黑" w:cs="仿宋_GB2312" w:hint="eastAsia"/>
          <w:color w:val="444444"/>
          <w:kern w:val="0"/>
          <w:sz w:val="28"/>
          <w:szCs w:val="28"/>
          <w:shd w:val="clear" w:color="auto" w:fill="FFFFFF"/>
        </w:rPr>
        <w:lastRenderedPageBreak/>
        <w:t>政党协商质量。三是规范政治安排强基础。以换届为契机，6个民主党派市委会全部设立内部监督委员会，持续加强自身建设；市工商联（总商会）换届选举产生执委211名，其中民营经济代表人士193名，占91%。此次县市区人大换届共选举产生市人大代表540名，其中党外代表191人，占35.4%，党外市政协委员完成推荐提名和联审考察，产生公示建议人选259名，占60.2%；持续优化党外干部配备，全市配备科级及以上党外领导干部共658人，其中厅级10人（含市级领导班子提名人选4人），处级90人，科级562人。市本级在各方面均落实了党外干部配备政策要求。市委组织部、市委统战部联合印发《关于进一步完善“有意识地把一部分优秀人才留在党外”的工作机制》，加强党外代表人士队伍建设，为多党合作事业发展提供人才支撑。</w:t>
      </w:r>
    </w:p>
    <w:p w:rsidR="009E2663" w:rsidRDefault="00563E85">
      <w:pPr>
        <w:widowControl/>
        <w:shd w:val="clear" w:color="auto" w:fill="FFFFFF"/>
        <w:spacing w:line="579" w:lineRule="atLeast"/>
        <w:jc w:val="left"/>
        <w:rPr>
          <w:rFonts w:ascii="仿宋_GB2312" w:eastAsia="仿宋_GB2312" w:hAnsi="微软雅黑" w:cs="仿宋_GB2312"/>
          <w:color w:val="444444"/>
          <w:kern w:val="0"/>
          <w:sz w:val="28"/>
          <w:szCs w:val="28"/>
          <w:shd w:val="clear" w:color="auto" w:fill="FFFFFF"/>
        </w:rPr>
      </w:pPr>
      <w:r>
        <w:rPr>
          <w:rFonts w:ascii="仿宋_GB2312" w:eastAsia="仿宋_GB2312" w:hAnsi="微软雅黑" w:cs="仿宋_GB2312" w:hint="eastAsia"/>
          <w:color w:val="444444"/>
          <w:kern w:val="0"/>
          <w:sz w:val="28"/>
          <w:szCs w:val="28"/>
          <w:shd w:val="clear" w:color="auto" w:fill="FFFFFF"/>
        </w:rPr>
        <w:t>二、聚焦民营经济统战工作，着力促进“两个健康”。我们全面贯彻“信任、团结、服务、引导、教育”的工作方针，着力推动民营经济高质量发展。一是教育引导强信心。今年来，我们先后召开全市</w:t>
      </w:r>
      <w:r>
        <w:rPr>
          <w:rFonts w:ascii="仿宋_GB2312" w:eastAsia="仿宋_GB2312" w:hAnsi="微软雅黑" w:cs="仿宋_GB2312"/>
          <w:color w:val="444444"/>
          <w:kern w:val="0"/>
          <w:sz w:val="28"/>
          <w:szCs w:val="28"/>
          <w:shd w:val="clear" w:color="auto" w:fill="FFFFFF"/>
        </w:rPr>
        <w:t>民营经济</w:t>
      </w:r>
      <w:r>
        <w:rPr>
          <w:rFonts w:ascii="仿宋_GB2312" w:eastAsia="仿宋_GB2312" w:hAnsi="微软雅黑" w:cs="仿宋_GB2312" w:hint="eastAsia"/>
          <w:color w:val="444444"/>
          <w:kern w:val="0"/>
          <w:sz w:val="28"/>
          <w:szCs w:val="28"/>
          <w:shd w:val="clear" w:color="auto" w:fill="FFFFFF"/>
        </w:rPr>
        <w:t>统战工作会议暨民营经济高质量</w:t>
      </w:r>
      <w:r>
        <w:rPr>
          <w:rFonts w:ascii="仿宋_GB2312" w:eastAsia="仿宋_GB2312" w:hAnsi="微软雅黑" w:cs="仿宋_GB2312"/>
          <w:color w:val="444444"/>
          <w:kern w:val="0"/>
          <w:sz w:val="28"/>
          <w:szCs w:val="28"/>
          <w:shd w:val="clear" w:color="auto" w:fill="FFFFFF"/>
        </w:rPr>
        <w:t>发展大会</w:t>
      </w:r>
      <w:r>
        <w:rPr>
          <w:rFonts w:ascii="仿宋_GB2312" w:eastAsia="仿宋_GB2312" w:hAnsi="微软雅黑" w:cs="仿宋_GB2312" w:hint="eastAsia"/>
          <w:color w:val="444444"/>
          <w:kern w:val="0"/>
          <w:sz w:val="28"/>
          <w:szCs w:val="28"/>
          <w:shd w:val="clear" w:color="auto" w:fill="FFFFFF"/>
        </w:rPr>
        <w:t>、全市民营企业家座谈会，</w:t>
      </w:r>
      <w:r>
        <w:rPr>
          <w:rFonts w:ascii="仿宋_GB2312" w:eastAsia="仿宋_GB2312" w:hAnsi="微软雅黑" w:cs="仿宋_GB2312"/>
          <w:color w:val="444444"/>
          <w:kern w:val="0"/>
          <w:sz w:val="28"/>
          <w:szCs w:val="28"/>
          <w:shd w:val="clear" w:color="auto" w:fill="FFFFFF"/>
        </w:rPr>
        <w:t>向广大民营企业家表明市委、市政府毫不动摇支持民营经济发展的鲜明态度和坚定决心</w:t>
      </w:r>
      <w:r>
        <w:rPr>
          <w:rFonts w:ascii="仿宋_GB2312" w:eastAsia="仿宋_GB2312" w:hAnsi="微软雅黑" w:cs="仿宋_GB2312" w:hint="eastAsia"/>
          <w:color w:val="444444"/>
          <w:kern w:val="0"/>
          <w:sz w:val="28"/>
          <w:szCs w:val="28"/>
          <w:shd w:val="clear" w:color="auto" w:fill="FFFFFF"/>
        </w:rPr>
        <w:t>；深入开展“我心向党忠诚为国”主题教育活动，</w:t>
      </w:r>
      <w:r>
        <w:rPr>
          <w:rFonts w:ascii="仿宋_GB2312" w:eastAsia="仿宋_GB2312" w:hAnsi="微软雅黑" w:cs="仿宋_GB2312"/>
          <w:color w:val="444444"/>
          <w:kern w:val="0"/>
          <w:sz w:val="28"/>
          <w:szCs w:val="28"/>
          <w:shd w:val="clear" w:color="auto" w:fill="FFFFFF"/>
        </w:rPr>
        <w:t>引导民营企业</w:t>
      </w:r>
      <w:r>
        <w:rPr>
          <w:rFonts w:ascii="仿宋_GB2312" w:eastAsia="仿宋_GB2312" w:hAnsi="微软雅黑" w:cs="仿宋_GB2312" w:hint="eastAsia"/>
          <w:color w:val="444444"/>
          <w:kern w:val="0"/>
          <w:sz w:val="28"/>
          <w:szCs w:val="28"/>
          <w:shd w:val="clear" w:color="auto" w:fill="FFFFFF"/>
        </w:rPr>
        <w:t>坚定理想信念，</w:t>
      </w:r>
      <w:r>
        <w:rPr>
          <w:rFonts w:ascii="仿宋_GB2312" w:eastAsia="仿宋_GB2312" w:hAnsi="微软雅黑" w:cs="仿宋_GB2312"/>
          <w:color w:val="444444"/>
          <w:kern w:val="0"/>
          <w:sz w:val="28"/>
          <w:szCs w:val="28"/>
          <w:shd w:val="clear" w:color="auto" w:fill="FFFFFF"/>
        </w:rPr>
        <w:t>保持定力、增强信心，集中力量办好自己的事。</w:t>
      </w:r>
      <w:r>
        <w:rPr>
          <w:rFonts w:ascii="仿宋_GB2312" w:eastAsia="仿宋_GB2312" w:hAnsi="微软雅黑" w:cs="仿宋_GB2312" w:hint="eastAsia"/>
          <w:color w:val="444444"/>
          <w:kern w:val="0"/>
          <w:sz w:val="28"/>
          <w:szCs w:val="28"/>
          <w:shd w:val="clear" w:color="auto" w:fill="FFFFFF"/>
        </w:rPr>
        <w:t>二是精准服务解难题。始终坚持主动、靠前、精准、高效服务理念，依托举办“民营企业家沙龙”进行“开门纳谏”，畅通政企沟通协商渠道；通过深化“万企大走访，同心促发展”实现“服</w:t>
      </w:r>
      <w:r>
        <w:rPr>
          <w:rFonts w:ascii="仿宋_GB2312" w:eastAsia="仿宋_GB2312" w:hAnsi="微软雅黑" w:cs="仿宋_GB2312" w:hint="eastAsia"/>
          <w:color w:val="444444"/>
          <w:kern w:val="0"/>
          <w:sz w:val="28"/>
          <w:szCs w:val="28"/>
          <w:shd w:val="clear" w:color="auto" w:fill="FFFFFF"/>
        </w:rPr>
        <w:lastRenderedPageBreak/>
        <w:t>务上门”。今年来，市县两级统战部门、工商联走访</w:t>
      </w:r>
      <w:r>
        <w:rPr>
          <w:rFonts w:ascii="仿宋_GB2312" w:eastAsia="仿宋_GB2312" w:hAnsi="微软雅黑" w:cs="仿宋_GB2312"/>
          <w:color w:val="444444"/>
          <w:kern w:val="0"/>
          <w:sz w:val="28"/>
          <w:szCs w:val="28"/>
          <w:shd w:val="clear" w:color="auto" w:fill="FFFFFF"/>
        </w:rPr>
        <w:t>808家民营企业、152个商协会</w:t>
      </w:r>
      <w:r>
        <w:rPr>
          <w:rFonts w:ascii="仿宋_GB2312" w:eastAsia="仿宋_GB2312" w:hAnsi="微软雅黑" w:cs="仿宋_GB2312" w:hint="eastAsia"/>
          <w:color w:val="444444"/>
          <w:kern w:val="0"/>
          <w:sz w:val="28"/>
          <w:szCs w:val="28"/>
          <w:shd w:val="clear" w:color="auto" w:fill="FFFFFF"/>
        </w:rPr>
        <w:t>，帮助企业解决难融资、招工难等方面问题469个；持续深化企业上市攻坚行动，今年8月邵阳民企维克液压获批在创业板IPO注册，填补了邵阳上市公司空白；建立民营经济统战工作协调机制，推动领导干部联系企业和商协会工作制度化常态化，带头践行亲清政商关系。三是搭建平台促发展。着力抓好促进民营经济发展“六个一”工作，组织开展“新湖南”贡献奖评选，召开全市知识产权成果转化对接会，推动22家省市企业与邵阳学院签订战略合作协议；主动对接“500强”，参加全国工商联和湖南省政府共同主办的“2021中国民营企业500强峰会暨全国知名民营企业助推湖南实施‘三高四新’战略大会”，邵东市和北塔区现场签约项目2个，总投资23.2亿元。成立邵阳市民营企业服务中心，</w:t>
      </w:r>
      <w:r>
        <w:rPr>
          <w:rFonts w:ascii="仿宋_GB2312" w:eastAsia="仿宋_GB2312" w:hAnsi="微软雅黑" w:cs="仿宋_GB2312"/>
          <w:color w:val="444444"/>
          <w:kern w:val="0"/>
          <w:sz w:val="28"/>
          <w:szCs w:val="28"/>
          <w:shd w:val="clear" w:color="auto" w:fill="FFFFFF"/>
        </w:rPr>
        <w:t>作为</w:t>
      </w:r>
      <w:r>
        <w:rPr>
          <w:rFonts w:ascii="仿宋_GB2312" w:eastAsia="仿宋_GB2312" w:hAnsi="微软雅黑" w:cs="仿宋_GB2312" w:hint="eastAsia"/>
          <w:color w:val="444444"/>
          <w:kern w:val="0"/>
          <w:sz w:val="28"/>
          <w:szCs w:val="28"/>
          <w:shd w:val="clear" w:color="auto" w:fill="FFFFFF"/>
        </w:rPr>
        <w:t>市工商联所</w:t>
      </w:r>
      <w:r>
        <w:rPr>
          <w:rFonts w:ascii="仿宋_GB2312" w:eastAsia="仿宋_GB2312" w:hAnsi="微软雅黑" w:cs="仿宋_GB2312"/>
          <w:color w:val="444444"/>
          <w:kern w:val="0"/>
          <w:sz w:val="28"/>
          <w:szCs w:val="28"/>
          <w:shd w:val="clear" w:color="auto" w:fill="FFFFFF"/>
        </w:rPr>
        <w:t>属全额拨款正科级事业单位，增设全额拨款事业编制</w:t>
      </w:r>
      <w:r>
        <w:rPr>
          <w:rFonts w:ascii="仿宋_GB2312" w:eastAsia="仿宋_GB2312" w:hAnsi="微软雅黑" w:cs="仿宋_GB2312" w:hint="eastAsia"/>
          <w:color w:val="444444"/>
          <w:kern w:val="0"/>
          <w:sz w:val="28"/>
          <w:szCs w:val="28"/>
          <w:shd w:val="clear" w:color="auto" w:fill="FFFFFF"/>
        </w:rPr>
        <w:t>5</w:t>
      </w:r>
      <w:r>
        <w:rPr>
          <w:rFonts w:ascii="仿宋_GB2312" w:eastAsia="仿宋_GB2312" w:hAnsi="微软雅黑" w:cs="仿宋_GB2312"/>
          <w:color w:val="444444"/>
          <w:kern w:val="0"/>
          <w:sz w:val="28"/>
          <w:szCs w:val="28"/>
          <w:shd w:val="clear" w:color="auto" w:fill="FFFFFF"/>
        </w:rPr>
        <w:t>名</w:t>
      </w:r>
      <w:r>
        <w:rPr>
          <w:rFonts w:ascii="仿宋_GB2312" w:eastAsia="仿宋_GB2312" w:hAnsi="微软雅黑" w:cs="仿宋_GB2312" w:hint="eastAsia"/>
          <w:color w:val="444444"/>
          <w:kern w:val="0"/>
          <w:sz w:val="28"/>
          <w:szCs w:val="28"/>
          <w:shd w:val="clear" w:color="auto" w:fill="FFFFFF"/>
        </w:rPr>
        <w:t>，</w:t>
      </w:r>
      <w:r>
        <w:rPr>
          <w:rFonts w:ascii="仿宋_GB2312" w:eastAsia="仿宋_GB2312" w:hAnsi="微软雅黑" w:cs="仿宋_GB2312"/>
          <w:color w:val="444444"/>
          <w:kern w:val="0"/>
          <w:sz w:val="28"/>
          <w:szCs w:val="28"/>
          <w:shd w:val="clear" w:color="auto" w:fill="FFFFFF"/>
        </w:rPr>
        <w:t>为企业提供项目、资金、人才一站式、全方位管家式服务。</w:t>
      </w:r>
    </w:p>
    <w:p w:rsidR="009E2663" w:rsidRDefault="00563E85">
      <w:pPr>
        <w:widowControl/>
        <w:shd w:val="clear" w:color="auto" w:fill="FFFFFF"/>
        <w:spacing w:line="579" w:lineRule="atLeast"/>
        <w:jc w:val="left"/>
        <w:rPr>
          <w:rFonts w:ascii="仿宋_GB2312" w:eastAsia="仿宋_GB2312" w:hAnsi="微软雅黑" w:cs="仿宋_GB2312"/>
          <w:color w:val="444444"/>
          <w:kern w:val="0"/>
          <w:sz w:val="28"/>
          <w:szCs w:val="28"/>
          <w:shd w:val="clear" w:color="auto" w:fill="FFFFFF"/>
        </w:rPr>
      </w:pPr>
      <w:r>
        <w:rPr>
          <w:rFonts w:ascii="仿宋_GB2312" w:eastAsia="仿宋_GB2312" w:hAnsi="微软雅黑" w:cs="仿宋_GB2312" w:hint="eastAsia"/>
          <w:color w:val="444444"/>
          <w:kern w:val="0"/>
          <w:sz w:val="28"/>
          <w:szCs w:val="28"/>
          <w:shd w:val="clear" w:color="auto" w:fill="FFFFFF"/>
        </w:rPr>
        <w:t>三、聚焦民族宗教工作，着力促进社会和谐稳定。民族工作方面，一</w:t>
      </w:r>
      <w:bookmarkStart w:id="0" w:name="_GoBack"/>
      <w:bookmarkEnd w:id="0"/>
      <w:r>
        <w:rPr>
          <w:rFonts w:ascii="仿宋_GB2312" w:eastAsia="仿宋_GB2312" w:hAnsi="微软雅黑" w:cs="仿宋_GB2312" w:hint="eastAsia"/>
          <w:color w:val="444444"/>
          <w:kern w:val="0"/>
          <w:sz w:val="28"/>
          <w:szCs w:val="28"/>
          <w:shd w:val="clear" w:color="auto" w:fill="FFFFFF"/>
        </w:rPr>
        <w:t>是</w:t>
      </w:r>
      <w:r>
        <w:rPr>
          <w:rFonts w:ascii="仿宋_GB2312" w:eastAsia="仿宋_GB2312" w:hAnsi="微软雅黑" w:cs="仿宋_GB2312"/>
          <w:color w:val="444444"/>
          <w:kern w:val="0"/>
          <w:sz w:val="28"/>
          <w:szCs w:val="28"/>
          <w:shd w:val="clear" w:color="auto" w:fill="FFFFFF"/>
        </w:rPr>
        <w:t>职能职责向主线优化</w:t>
      </w:r>
      <w:r>
        <w:rPr>
          <w:rFonts w:ascii="仿宋_GB2312" w:eastAsia="仿宋_GB2312" w:hAnsi="微软雅黑" w:cs="仿宋_GB2312" w:hint="eastAsia"/>
          <w:color w:val="444444"/>
          <w:kern w:val="0"/>
          <w:sz w:val="28"/>
          <w:szCs w:val="28"/>
          <w:shd w:val="clear" w:color="auto" w:fill="FFFFFF"/>
        </w:rPr>
        <w:t>。市县两级统战、民宗部门深入学习中央民族工作会议精神，明确民族工作职责和着力重点。</w:t>
      </w:r>
      <w:r>
        <w:rPr>
          <w:rFonts w:ascii="仿宋_GB2312" w:eastAsia="仿宋_GB2312" w:hAnsi="微软雅黑" w:cs="仿宋_GB2312"/>
          <w:color w:val="444444"/>
          <w:kern w:val="0"/>
          <w:sz w:val="28"/>
          <w:szCs w:val="28"/>
          <w:shd w:val="clear" w:color="auto" w:fill="FFFFFF"/>
        </w:rPr>
        <w:t>组建民族工作专题调研组，深入民族地区</w:t>
      </w:r>
      <w:r>
        <w:rPr>
          <w:rFonts w:ascii="仿宋_GB2312" w:eastAsia="仿宋_GB2312" w:hAnsi="微软雅黑" w:cs="仿宋_GB2312" w:hint="eastAsia"/>
          <w:color w:val="444444"/>
          <w:kern w:val="0"/>
          <w:sz w:val="28"/>
          <w:szCs w:val="28"/>
          <w:shd w:val="clear" w:color="auto" w:fill="FFFFFF"/>
        </w:rPr>
        <w:t>调研民族团结进步创建、乡村振兴等问题，积极研究部署铸牢中华民族共同体意识的有效举措，进一步校准工作方向。二是</w:t>
      </w:r>
      <w:r>
        <w:rPr>
          <w:rFonts w:ascii="仿宋_GB2312" w:eastAsia="仿宋_GB2312" w:hAnsi="微软雅黑" w:cs="仿宋_GB2312"/>
          <w:color w:val="444444"/>
          <w:kern w:val="0"/>
          <w:sz w:val="28"/>
          <w:szCs w:val="28"/>
          <w:shd w:val="clear" w:color="auto" w:fill="FFFFFF"/>
        </w:rPr>
        <w:t>工作举措向主线发力</w:t>
      </w:r>
      <w:r>
        <w:rPr>
          <w:rFonts w:ascii="仿宋_GB2312" w:eastAsia="仿宋_GB2312" w:hAnsi="微软雅黑" w:cs="仿宋_GB2312" w:hint="eastAsia"/>
          <w:color w:val="444444"/>
          <w:kern w:val="0"/>
          <w:sz w:val="28"/>
          <w:szCs w:val="28"/>
          <w:shd w:val="clear" w:color="auto" w:fill="FFFFFF"/>
        </w:rPr>
        <w:t>。</w:t>
      </w:r>
      <w:r>
        <w:rPr>
          <w:rFonts w:ascii="仿宋_GB2312" w:eastAsia="仿宋_GB2312" w:hAnsi="微软雅黑" w:cs="仿宋_GB2312"/>
          <w:color w:val="444444"/>
          <w:kern w:val="0"/>
          <w:sz w:val="28"/>
          <w:szCs w:val="28"/>
          <w:shd w:val="clear" w:color="auto" w:fill="FFFFFF"/>
        </w:rPr>
        <w:t>把民族地区乡村振兴工作纳入</w:t>
      </w:r>
      <w:r>
        <w:rPr>
          <w:rFonts w:ascii="仿宋_GB2312" w:eastAsia="仿宋_GB2312" w:hAnsi="微软雅黑" w:cs="仿宋_GB2312" w:hint="eastAsia"/>
          <w:color w:val="444444"/>
          <w:kern w:val="0"/>
          <w:sz w:val="28"/>
          <w:szCs w:val="28"/>
          <w:shd w:val="clear" w:color="auto" w:fill="FFFFFF"/>
        </w:rPr>
        <w:t>“</w:t>
      </w:r>
      <w:r>
        <w:rPr>
          <w:rFonts w:ascii="仿宋_GB2312" w:eastAsia="仿宋_GB2312" w:hAnsi="微软雅黑" w:cs="仿宋_GB2312"/>
          <w:color w:val="444444"/>
          <w:kern w:val="0"/>
          <w:sz w:val="28"/>
          <w:szCs w:val="28"/>
          <w:shd w:val="clear" w:color="auto" w:fill="FFFFFF"/>
        </w:rPr>
        <w:t>十四五</w:t>
      </w:r>
      <w:r>
        <w:rPr>
          <w:rFonts w:ascii="仿宋_GB2312" w:eastAsia="仿宋_GB2312" w:hAnsi="微软雅黑" w:cs="仿宋_GB2312" w:hint="eastAsia"/>
          <w:color w:val="444444"/>
          <w:kern w:val="0"/>
          <w:sz w:val="28"/>
          <w:szCs w:val="28"/>
          <w:shd w:val="clear" w:color="auto" w:fill="FFFFFF"/>
        </w:rPr>
        <w:t>”</w:t>
      </w:r>
      <w:r>
        <w:rPr>
          <w:rFonts w:ascii="仿宋_GB2312" w:eastAsia="仿宋_GB2312" w:hAnsi="微软雅黑" w:cs="仿宋_GB2312"/>
          <w:color w:val="444444"/>
          <w:kern w:val="0"/>
          <w:sz w:val="28"/>
          <w:szCs w:val="28"/>
          <w:shd w:val="clear" w:color="auto" w:fill="FFFFFF"/>
        </w:rPr>
        <w:t>规划，</w:t>
      </w:r>
      <w:r>
        <w:rPr>
          <w:rFonts w:ascii="仿宋_GB2312" w:eastAsia="仿宋_GB2312" w:hAnsi="微软雅黑" w:cs="仿宋_GB2312" w:hint="eastAsia"/>
          <w:color w:val="444444"/>
          <w:kern w:val="0"/>
          <w:sz w:val="28"/>
          <w:szCs w:val="28"/>
          <w:shd w:val="clear" w:color="auto" w:fill="FFFFFF"/>
        </w:rPr>
        <w:t>城步苗族自治县长安营镇等4个乡镇（村）入选首批省级民族乡村振兴试点单位；争取上级少数民族发展专项资金1761万元，</w:t>
      </w:r>
      <w:r>
        <w:rPr>
          <w:rFonts w:ascii="仿宋_GB2312" w:eastAsia="仿宋_GB2312" w:hAnsi="微软雅黑" w:cs="仿宋_GB2312" w:hint="eastAsia"/>
          <w:color w:val="444444"/>
          <w:kern w:val="0"/>
          <w:sz w:val="28"/>
          <w:szCs w:val="28"/>
          <w:shd w:val="clear" w:color="auto" w:fill="FFFFFF"/>
        </w:rPr>
        <w:lastRenderedPageBreak/>
        <w:t>市级少数民族发展资金规模由去年560万元增加到今年780万元，并纳入财政预算；支持民族地区在特色产业发展做文章，推动形成城步奶业、绥宁县青钱柳、隆回县金银花等一大批特色产业项目；推动民族节日文化和旅游融合发展，促进我市旅游综合实力显著提升；以创建民族团结进步示范市为抓手，稳步推进民族团结进步创建工作。今年，城步苗族自治县、隆回县成功创建为“第九批全省民族团结进步示范区（单位）”。三是</w:t>
      </w:r>
      <w:r>
        <w:rPr>
          <w:rFonts w:ascii="仿宋_GB2312" w:eastAsia="仿宋_GB2312" w:hAnsi="微软雅黑" w:cs="仿宋_GB2312"/>
          <w:color w:val="444444"/>
          <w:kern w:val="0"/>
          <w:sz w:val="28"/>
          <w:szCs w:val="28"/>
          <w:shd w:val="clear" w:color="auto" w:fill="FFFFFF"/>
        </w:rPr>
        <w:t>人员力量向主线加强</w:t>
      </w:r>
      <w:r>
        <w:rPr>
          <w:rFonts w:ascii="仿宋_GB2312" w:eastAsia="仿宋_GB2312" w:hAnsi="微软雅黑" w:cs="仿宋_GB2312" w:hint="eastAsia"/>
          <w:color w:val="444444"/>
          <w:kern w:val="0"/>
          <w:sz w:val="28"/>
          <w:szCs w:val="28"/>
          <w:shd w:val="clear" w:color="auto" w:fill="FFFFFF"/>
        </w:rPr>
        <w:t>。</w:t>
      </w:r>
      <w:r>
        <w:rPr>
          <w:rFonts w:ascii="仿宋_GB2312" w:eastAsia="仿宋_GB2312" w:hAnsi="微软雅黑" w:cs="仿宋_GB2312"/>
          <w:color w:val="444444"/>
          <w:kern w:val="0"/>
          <w:sz w:val="28"/>
          <w:szCs w:val="28"/>
          <w:shd w:val="clear" w:color="auto" w:fill="FFFFFF"/>
        </w:rPr>
        <w:t>健全民族工作领导机制，调整完善处理民族问题领导小组，建立了涉疆服务管理工作联席会议制度，</w:t>
      </w:r>
      <w:r>
        <w:rPr>
          <w:rFonts w:ascii="仿宋_GB2312" w:eastAsia="仿宋_GB2312" w:hAnsi="微软雅黑" w:cs="仿宋_GB2312" w:hint="eastAsia"/>
          <w:color w:val="444444"/>
          <w:kern w:val="0"/>
          <w:sz w:val="28"/>
          <w:szCs w:val="28"/>
          <w:shd w:val="clear" w:color="auto" w:fill="FFFFFF"/>
        </w:rPr>
        <w:t>完善民族工作机构设置，如洞口县、邵东市、城步苗族自治县分别成立了民族宗教服务中心，增加了民族工作力量，确保党的民族理论和民族政策在基层有人懂、有人抓。我市多措并举铸牢中华民族共同体意识的做法得到了时任省委常委、省委统战部部长黄兰香同志的肯定性批示，并编入《省委统一战线工作领导小组简报》，在全省进行推介。宗教工作方面，一是坚持我国宗教中国化方向。指导市伊协创建“宗教界爱国主义教育基地”，全市24座清真寺已有19座完成清真寺中国化建设；以“国好法大”为主题，持续深入开展“五进五好”主题活动，实现全市所有赋码的宗教活动场所全覆盖。二是积极引导宗教与社会主义社会相适应。深入开展反宗教极端思想宣传教育，以市伊协会、市基督教“两会”驻地为主会场，分别组织2场反宗教极端思想现场宣讲活动。持续推进“整治非法宗教活动 遏制宗教渗透蔓延”专项工作，侦查影响较大的非法宗教活动案件4起，已全部处置到位。累计排查治理基督教私设聚会点61处，整治</w:t>
      </w:r>
      <w:r>
        <w:rPr>
          <w:rFonts w:ascii="仿宋_GB2312" w:eastAsia="仿宋_GB2312" w:hAnsi="微软雅黑" w:cs="仿宋_GB2312" w:hint="eastAsia"/>
          <w:color w:val="444444"/>
          <w:kern w:val="0"/>
          <w:sz w:val="28"/>
          <w:szCs w:val="28"/>
          <w:shd w:val="clear" w:color="auto" w:fill="FFFFFF"/>
        </w:rPr>
        <w:lastRenderedPageBreak/>
        <w:t>佛教道教商业化问题98起，清理销毁涉宗教非法出版物2500余册。三是做好宗教领域常态化疫情防控及安全隐患排查工作。组织专门力量下沉所有宗教活动场所，实现疫情防控督导全覆盖。全面排查宗教活动场所住房和消防安全隐患，共排查安全隐患116个，立查立改一般性安全隐患问题79个，37个安全隐患正在整改中，切实维护宗教领域安全稳定。</w:t>
      </w:r>
    </w:p>
    <w:p w:rsidR="009E2663" w:rsidRDefault="00563E85">
      <w:pPr>
        <w:widowControl/>
        <w:shd w:val="clear" w:color="auto" w:fill="FFFFFF"/>
        <w:spacing w:line="579" w:lineRule="atLeast"/>
        <w:jc w:val="left"/>
        <w:rPr>
          <w:rFonts w:ascii="仿宋_GB2312" w:eastAsia="仿宋_GB2312" w:hAnsi="微软雅黑" w:cs="仿宋_GB2312"/>
          <w:color w:val="444444"/>
          <w:kern w:val="0"/>
          <w:sz w:val="28"/>
          <w:szCs w:val="28"/>
          <w:shd w:val="clear" w:color="auto" w:fill="FFFFFF"/>
        </w:rPr>
      </w:pPr>
      <w:r>
        <w:rPr>
          <w:rFonts w:ascii="仿宋_GB2312" w:eastAsia="仿宋_GB2312" w:hAnsi="微软雅黑" w:cs="仿宋_GB2312" w:hint="eastAsia"/>
          <w:color w:val="444444"/>
          <w:kern w:val="0"/>
          <w:sz w:val="28"/>
          <w:szCs w:val="28"/>
          <w:shd w:val="clear" w:color="auto" w:fill="FFFFFF"/>
        </w:rPr>
        <w:t>四、聚焦民力汇聚工作，着力发挥统一战线重要法宝作用。深化“凝心聚力新时代”行动，用好各类平台载体，引导广大统一战线成员发挥自身优势，积极投身实施“三高四新”战略、建设现代化新邵阳的具体实践。一是在助力乡村振兴上积极作为。动员337家民营企业参与“万企兴万村”行动，结对帮扶1338个村，投入帮扶资金20.1亿元，惠及群众20.5万人。持续开展“同心美丽乡村”建设，今年成功创建省级同心美丽乡村3个、市级10个、县级24个，为全面推进乡村振兴贡献了重要力量。二是在服务社会发展上积极作为。建成实践创新省级基地1个、市级基地6个、县级基地12个，为新的社会阶层人士发挥作用创造条件。“智丰众创空间”实践创新基地带动蜂巢创客在内的10家企业、30名新的社会阶层人士创新创业，“优农找·致富带头人”基地策划“爱心助农公益直播”等各类线上线下主题活动16场，农产品销售额达2800多万元。我市创建新的社会阶层人士统战工作实践创新基地的做法先后被《中国统一战线》、省委统战部《统战工作》宣传推介。发挥侨界优势助推疫情防控和乡村振兴，市侨联被授予“全国侨联系统抗击新冠疫情先进集体”荣誉称</w:t>
      </w:r>
      <w:r>
        <w:rPr>
          <w:rFonts w:ascii="仿宋_GB2312" w:eastAsia="仿宋_GB2312" w:hAnsi="微软雅黑" w:cs="仿宋_GB2312" w:hint="eastAsia"/>
          <w:color w:val="444444"/>
          <w:kern w:val="0"/>
          <w:sz w:val="28"/>
          <w:szCs w:val="28"/>
          <w:shd w:val="clear" w:color="auto" w:fill="FFFFFF"/>
        </w:rPr>
        <w:lastRenderedPageBreak/>
        <w:t>号，侨资企业华兴实业公司捐赠1000万元助力隆回县向家村发展振兴。三是在深化对外交流上积极作为。与18家海外商会侨领保持密切联系，积极引荐海外知名侨商、社团来邵投资考察；推动“追梦中华·幸福湖南”2021海外华文媒体湖南采访行活动走进邵阳，提升邵阳对外知名度；发挥邵商遍布东盟十国投资兴业优势，促进市内企业利用东盟邵商平台发展壮大；抢抓中非经贸博览会永久落户湖南契机，助力邵阳中非经贸产业园建设。2021年我市商品出口非洲20多个国家和地区，预计全年对非贸易额将达38亿元。</w:t>
      </w:r>
    </w:p>
    <w:p w:rsidR="009E2663" w:rsidRDefault="00563E85">
      <w:pPr>
        <w:widowControl/>
        <w:shd w:val="clear" w:color="auto" w:fill="FFFFFF"/>
        <w:spacing w:line="579" w:lineRule="atLeast"/>
        <w:jc w:val="left"/>
        <w:rPr>
          <w:rFonts w:ascii="仿宋_GB2312" w:eastAsia="仿宋_GB2312" w:hAnsi="微软雅黑" w:cs="仿宋_GB2312"/>
          <w:color w:val="444444"/>
          <w:kern w:val="0"/>
          <w:sz w:val="28"/>
          <w:szCs w:val="28"/>
          <w:shd w:val="clear" w:color="auto" w:fill="FFFFFF"/>
        </w:rPr>
      </w:pPr>
      <w:r>
        <w:rPr>
          <w:rFonts w:ascii="仿宋_GB2312" w:eastAsia="仿宋_GB2312" w:hAnsi="微软雅黑" w:cs="仿宋_GB2312" w:hint="eastAsia"/>
          <w:color w:val="444444"/>
          <w:kern w:val="0"/>
          <w:sz w:val="28"/>
          <w:szCs w:val="28"/>
          <w:shd w:val="clear" w:color="auto" w:fill="FFFFFF"/>
        </w:rPr>
        <w:t>此外，针对换届后全市统战干部队伍人员大幅调整的实际情况，组织284名市县乡三级统战干部参加统战干部专题培训班，充统战理论之“电”、加实践创新之“油”，帮助新进统战队伍的同志熟练掌握统战理论政策，着力提升做好新时代统战工作的能力和水平。</w:t>
      </w:r>
    </w:p>
    <w:p w:rsidR="009E2663" w:rsidRDefault="009E2663">
      <w:pPr>
        <w:widowControl/>
        <w:shd w:val="clear" w:color="auto" w:fill="FFFFFF"/>
        <w:spacing w:line="579" w:lineRule="atLeast"/>
        <w:jc w:val="left"/>
        <w:rPr>
          <w:rFonts w:ascii="黑体" w:eastAsia="黑体" w:hAnsi="宋体" w:cs="黑体"/>
          <w:color w:val="C00000"/>
          <w:kern w:val="0"/>
          <w:sz w:val="28"/>
          <w:szCs w:val="28"/>
          <w:shd w:val="clear" w:color="auto" w:fill="FFFFFF"/>
        </w:rPr>
      </w:pPr>
    </w:p>
    <w:p w:rsidR="009E2663" w:rsidRDefault="00563E85">
      <w:pPr>
        <w:widowControl/>
        <w:numPr>
          <w:ilvl w:val="0"/>
          <w:numId w:val="2"/>
        </w:numPr>
        <w:shd w:val="clear" w:color="auto" w:fill="FFFFFF"/>
        <w:spacing w:line="579" w:lineRule="atLeast"/>
        <w:jc w:val="left"/>
        <w:rPr>
          <w:rFonts w:ascii="楷体_GB2312" w:eastAsia="楷体_GB2312" w:hAnsi="微软雅黑" w:cs="楷体_GB2312"/>
          <w:b/>
          <w:color w:val="444444"/>
          <w:kern w:val="0"/>
          <w:sz w:val="28"/>
          <w:szCs w:val="28"/>
          <w:shd w:val="clear" w:color="auto" w:fill="FFFFFF"/>
        </w:rPr>
      </w:pPr>
      <w:r>
        <w:rPr>
          <w:rFonts w:ascii="楷体_GB2312" w:eastAsia="楷体_GB2312" w:hAnsi="微软雅黑" w:cs="楷体_GB2312" w:hint="eastAsia"/>
          <w:b/>
          <w:color w:val="444444"/>
          <w:kern w:val="0"/>
          <w:sz w:val="28"/>
          <w:szCs w:val="28"/>
          <w:shd w:val="clear" w:color="auto" w:fill="FFFFFF"/>
        </w:rPr>
        <w:t>存在的问题</w:t>
      </w:r>
    </w:p>
    <w:p w:rsidR="009E2663" w:rsidRDefault="00563E85">
      <w:pPr>
        <w:widowControl/>
        <w:shd w:val="clear" w:color="auto" w:fill="FFFFFF"/>
        <w:spacing w:line="579" w:lineRule="atLeast"/>
        <w:jc w:val="left"/>
        <w:rPr>
          <w:rFonts w:ascii="仿宋_GB2312" w:eastAsia="仿宋_GB2312" w:hAnsi="微软雅黑" w:cs="仿宋_GB2312"/>
          <w:color w:val="444444"/>
          <w:kern w:val="0"/>
          <w:sz w:val="28"/>
          <w:szCs w:val="28"/>
          <w:shd w:val="clear" w:color="auto" w:fill="FFFFFF"/>
        </w:rPr>
      </w:pPr>
      <w:r>
        <w:rPr>
          <w:rFonts w:ascii="仿宋_GB2312" w:eastAsia="仿宋_GB2312" w:hAnsi="微软雅黑" w:cs="仿宋_GB2312" w:hint="eastAsia"/>
          <w:color w:val="444444"/>
          <w:kern w:val="0"/>
          <w:sz w:val="28"/>
          <w:szCs w:val="28"/>
          <w:shd w:val="clear" w:color="auto" w:fill="FFFFFF"/>
        </w:rPr>
        <w:t>1、统战工作任务艰巨，统战特别经费需求有缺口。因财政未将年度奖金、公车改革产生的车补开支纳入财政预算，造成资金缺口大，导致出现各资金间的调剂使用情况。2、没有正式的专职的财务人员，现在财务工作报表任务越来越重，一定程度影响了相关工作的开展。3、固定资产管理效率还有待提高。如机关资产管理的具体工作由办公室实施，但未配备专职的资产管理人员，一人多岗的现象长期存在。</w:t>
      </w:r>
    </w:p>
    <w:p w:rsidR="009E2663" w:rsidRDefault="009E2663">
      <w:pPr>
        <w:widowControl/>
        <w:shd w:val="clear" w:color="auto" w:fill="FFFFFF"/>
        <w:spacing w:line="579" w:lineRule="atLeast"/>
        <w:ind w:firstLine="640"/>
        <w:jc w:val="left"/>
        <w:rPr>
          <w:rFonts w:ascii="微软雅黑" w:eastAsia="微软雅黑" w:hAnsi="微软雅黑" w:cs="微软雅黑"/>
          <w:color w:val="C00000"/>
          <w:sz w:val="24"/>
        </w:rPr>
      </w:pPr>
    </w:p>
    <w:p w:rsidR="009E2663" w:rsidRDefault="00563E85">
      <w:pPr>
        <w:widowControl/>
        <w:numPr>
          <w:ilvl w:val="0"/>
          <w:numId w:val="2"/>
        </w:numPr>
        <w:shd w:val="clear" w:color="auto" w:fill="FFFFFF"/>
        <w:spacing w:line="579" w:lineRule="atLeast"/>
        <w:jc w:val="left"/>
        <w:rPr>
          <w:rFonts w:ascii="楷体_GB2312" w:eastAsia="楷体_GB2312" w:hAnsi="微软雅黑" w:cs="楷体_GB2312"/>
          <w:b/>
          <w:color w:val="444444"/>
          <w:kern w:val="0"/>
          <w:sz w:val="28"/>
          <w:szCs w:val="28"/>
          <w:shd w:val="clear" w:color="auto" w:fill="FFFFFF"/>
        </w:rPr>
      </w:pPr>
      <w:r>
        <w:rPr>
          <w:rFonts w:ascii="楷体_GB2312" w:eastAsia="楷体_GB2312" w:hAnsi="微软雅黑" w:cs="楷体_GB2312" w:hint="eastAsia"/>
          <w:b/>
          <w:color w:val="444444"/>
          <w:kern w:val="0"/>
          <w:sz w:val="28"/>
          <w:szCs w:val="28"/>
          <w:shd w:val="clear" w:color="auto" w:fill="FFFFFF"/>
        </w:rPr>
        <w:t>改进措施和有关建议</w:t>
      </w:r>
    </w:p>
    <w:p w:rsidR="009E2663" w:rsidRDefault="00563E85">
      <w:pPr>
        <w:widowControl/>
        <w:shd w:val="clear" w:color="auto" w:fill="FFFFFF"/>
        <w:spacing w:line="579" w:lineRule="atLeast"/>
        <w:jc w:val="left"/>
        <w:rPr>
          <w:rFonts w:ascii="仿宋_GB2312" w:eastAsia="仿宋_GB2312" w:hAnsi="微软雅黑" w:cs="仿宋_GB2312"/>
          <w:color w:val="444444"/>
          <w:kern w:val="0"/>
          <w:sz w:val="28"/>
          <w:szCs w:val="28"/>
          <w:shd w:val="clear" w:color="auto" w:fill="FFFFFF"/>
        </w:rPr>
      </w:pPr>
      <w:r>
        <w:rPr>
          <w:rFonts w:ascii="仿宋_GB2312" w:eastAsia="仿宋_GB2312" w:hAnsi="微软雅黑" w:cs="仿宋_GB2312" w:hint="eastAsia"/>
          <w:color w:val="444444"/>
          <w:kern w:val="0"/>
          <w:sz w:val="28"/>
          <w:szCs w:val="28"/>
          <w:shd w:val="clear" w:color="auto" w:fill="FFFFFF"/>
        </w:rPr>
        <w:lastRenderedPageBreak/>
        <w:t xml:space="preserve">    根据统战工作性质和实际情况，提高年初部门预算额度，加强部门预算编制的准确度，将常规项目支出纳入年度预算，并增加相关统战特费项目支出预算。进一步规范绩效目标编制，在编制项目资金绩效目标时要求指向明确、细化量化、合理可行、相应匹配。认真提高业务水平，更加严格执行预决算，保障各项工作任务圆满完成。 加强监管，定期对资产进行清查，建立资产卡片、做到账实相符。 </w:t>
      </w:r>
    </w:p>
    <w:p w:rsidR="009E2663" w:rsidRDefault="009E2663">
      <w:pPr>
        <w:widowControl/>
        <w:shd w:val="clear" w:color="auto" w:fill="FFFFFF"/>
        <w:spacing w:line="579" w:lineRule="atLeast"/>
        <w:jc w:val="left"/>
        <w:rPr>
          <w:rFonts w:ascii="仿宋_GB2312" w:eastAsia="仿宋_GB2312" w:hAnsi="微软雅黑" w:cs="仿宋_GB2312"/>
          <w:color w:val="444444"/>
          <w:kern w:val="0"/>
          <w:sz w:val="28"/>
          <w:szCs w:val="28"/>
          <w:shd w:val="clear" w:color="auto" w:fill="FFFFFF"/>
        </w:rPr>
      </w:pPr>
    </w:p>
    <w:p w:rsidR="009E2663" w:rsidRDefault="009E2663">
      <w:pPr>
        <w:widowControl/>
        <w:shd w:val="clear" w:color="auto" w:fill="FFFFFF"/>
        <w:spacing w:line="579" w:lineRule="atLeast"/>
        <w:jc w:val="left"/>
        <w:rPr>
          <w:rFonts w:ascii="仿宋_GB2312" w:eastAsia="仿宋_GB2312" w:hAnsi="微软雅黑" w:cs="仿宋_GB2312"/>
          <w:color w:val="444444"/>
          <w:kern w:val="0"/>
          <w:sz w:val="28"/>
          <w:szCs w:val="28"/>
          <w:shd w:val="clear" w:color="auto" w:fill="FFFFFF"/>
        </w:rPr>
      </w:pPr>
    </w:p>
    <w:p w:rsidR="009E2663" w:rsidRDefault="009E2663">
      <w:pPr>
        <w:widowControl/>
        <w:shd w:val="clear" w:color="auto" w:fill="FFFFFF"/>
        <w:spacing w:line="579" w:lineRule="atLeast"/>
        <w:jc w:val="left"/>
        <w:rPr>
          <w:rFonts w:ascii="仿宋_GB2312" w:eastAsia="仿宋_GB2312" w:hAnsi="微软雅黑" w:cs="仿宋_GB2312"/>
          <w:color w:val="444444"/>
          <w:kern w:val="0"/>
          <w:sz w:val="28"/>
          <w:szCs w:val="28"/>
          <w:shd w:val="clear" w:color="auto" w:fill="FFFFFF"/>
        </w:rPr>
      </w:pPr>
    </w:p>
    <w:p w:rsidR="009E2663" w:rsidRDefault="00563E85">
      <w:pPr>
        <w:rPr>
          <w:rFonts w:ascii="黑体" w:eastAsia="黑体" w:hAnsi="宋体"/>
          <w:sz w:val="32"/>
          <w:szCs w:val="32"/>
        </w:rPr>
      </w:pPr>
      <w:r>
        <w:rPr>
          <w:rFonts w:ascii="黑体" w:eastAsia="黑体" w:hint="eastAsia"/>
          <w:sz w:val="32"/>
          <w:szCs w:val="32"/>
        </w:rPr>
        <w:t>附件3</w:t>
      </w:r>
    </w:p>
    <w:p w:rsidR="009E2663" w:rsidRDefault="009E2663">
      <w:pPr>
        <w:rPr>
          <w:rFonts w:eastAsia="黑体"/>
          <w:sz w:val="44"/>
        </w:rPr>
      </w:pPr>
    </w:p>
    <w:p w:rsidR="009E2663" w:rsidRDefault="009E2663">
      <w:pPr>
        <w:rPr>
          <w:rFonts w:eastAsia="黑体"/>
          <w:sz w:val="44"/>
        </w:rPr>
      </w:pPr>
    </w:p>
    <w:p w:rsidR="009E2663" w:rsidRDefault="009E2663">
      <w:pPr>
        <w:rPr>
          <w:rFonts w:eastAsia="黑体"/>
          <w:sz w:val="44"/>
        </w:rPr>
      </w:pPr>
    </w:p>
    <w:p w:rsidR="009E2663" w:rsidRDefault="009E2663">
      <w:pPr>
        <w:rPr>
          <w:rFonts w:ascii="宋体" w:hAnsi="宋体"/>
          <w:sz w:val="44"/>
          <w:szCs w:val="44"/>
        </w:rPr>
      </w:pPr>
    </w:p>
    <w:p w:rsidR="009E2663" w:rsidRDefault="00563E85">
      <w:pPr>
        <w:jc w:val="center"/>
        <w:rPr>
          <w:rFonts w:ascii="宋体" w:hAnsi="宋体"/>
          <w:sz w:val="44"/>
          <w:szCs w:val="44"/>
        </w:rPr>
      </w:pPr>
      <w:r>
        <w:rPr>
          <w:rFonts w:ascii="宋体" w:hAnsi="宋体" w:hint="eastAsia"/>
          <w:sz w:val="44"/>
          <w:szCs w:val="44"/>
        </w:rPr>
        <w:t xml:space="preserve">部门整体支出绩效评价报告   </w:t>
      </w:r>
    </w:p>
    <w:p w:rsidR="009E2663" w:rsidRDefault="00563E85">
      <w:pPr>
        <w:jc w:val="center"/>
        <w:rPr>
          <w:rFonts w:ascii="宋体" w:hAnsi="宋体"/>
          <w:sz w:val="44"/>
          <w:szCs w:val="44"/>
        </w:rPr>
      </w:pPr>
      <w:r>
        <w:rPr>
          <w:rFonts w:ascii="宋体" w:hAnsi="宋体" w:hint="eastAsia"/>
          <w:sz w:val="44"/>
          <w:szCs w:val="44"/>
        </w:rPr>
        <w:t>（封面）</w:t>
      </w:r>
    </w:p>
    <w:p w:rsidR="009E2663" w:rsidRDefault="00563E85">
      <w:pPr>
        <w:spacing w:line="1000" w:lineRule="exact"/>
        <w:rPr>
          <w:bCs/>
          <w:sz w:val="32"/>
          <w:szCs w:val="32"/>
          <w:u w:val="single"/>
        </w:rPr>
      </w:pPr>
      <w:r>
        <w:rPr>
          <w:rFonts w:hint="eastAsia"/>
          <w:b/>
          <w:bCs/>
          <w:sz w:val="32"/>
          <w:szCs w:val="32"/>
        </w:rPr>
        <w:t>自评单位：</w:t>
      </w:r>
      <w:r>
        <w:rPr>
          <w:rFonts w:hint="eastAsia"/>
          <w:b/>
          <w:bCs/>
          <w:sz w:val="32"/>
          <w:szCs w:val="32"/>
        </w:rPr>
        <w:t xml:space="preserve">   </w:t>
      </w:r>
      <w:r>
        <w:rPr>
          <w:rFonts w:hint="eastAsia"/>
          <w:b/>
          <w:bCs/>
          <w:sz w:val="32"/>
          <w:szCs w:val="32"/>
          <w:u w:val="single"/>
        </w:rPr>
        <w:t>邵阳市委统战部</w:t>
      </w:r>
      <w:r>
        <w:rPr>
          <w:rFonts w:hint="eastAsia"/>
          <w:bCs/>
          <w:sz w:val="32"/>
          <w:szCs w:val="32"/>
        </w:rPr>
        <w:t>（单位公章）</w:t>
      </w:r>
    </w:p>
    <w:p w:rsidR="009E2663" w:rsidRDefault="009E2663">
      <w:pPr>
        <w:spacing w:line="600" w:lineRule="exact"/>
      </w:pPr>
    </w:p>
    <w:p w:rsidR="009E2663" w:rsidRDefault="009E2663">
      <w:pPr>
        <w:spacing w:line="600" w:lineRule="exact"/>
      </w:pPr>
    </w:p>
    <w:p w:rsidR="009E2663" w:rsidRDefault="009E2663">
      <w:pPr>
        <w:spacing w:line="600" w:lineRule="exact"/>
      </w:pPr>
    </w:p>
    <w:p w:rsidR="009E2663" w:rsidRDefault="009E2663">
      <w:pPr>
        <w:spacing w:line="600" w:lineRule="exact"/>
      </w:pPr>
    </w:p>
    <w:p w:rsidR="009E2663" w:rsidRDefault="009E2663">
      <w:pPr>
        <w:spacing w:line="600" w:lineRule="exact"/>
      </w:pPr>
    </w:p>
    <w:p w:rsidR="009E2663" w:rsidRDefault="00563E85">
      <w:pPr>
        <w:spacing w:line="600" w:lineRule="exact"/>
        <w:jc w:val="center"/>
        <w:rPr>
          <w:rFonts w:ascii="楷体" w:eastAsia="楷体" w:hAnsi="楷体" w:cs="楷体"/>
          <w:sz w:val="36"/>
        </w:rPr>
      </w:pPr>
      <w:r>
        <w:rPr>
          <w:rFonts w:ascii="楷体" w:eastAsia="楷体" w:hAnsi="楷体" w:cs="楷体" w:hint="eastAsia"/>
          <w:sz w:val="36"/>
        </w:rPr>
        <w:t>日期：　　年　　月　　日</w:t>
      </w:r>
    </w:p>
    <w:p w:rsidR="00A64D61" w:rsidRDefault="00A64D61" w:rsidP="00A64D61">
      <w:pPr>
        <w:pStyle w:val="UserStyle0"/>
      </w:pPr>
    </w:p>
    <w:p w:rsidR="00A64D61" w:rsidRDefault="00A64D61" w:rsidP="00A64D61">
      <w:pPr>
        <w:pStyle w:val="UserStyle0"/>
      </w:pPr>
    </w:p>
    <w:p w:rsidR="00A64D61" w:rsidRDefault="00A64D61" w:rsidP="00A64D61">
      <w:pPr>
        <w:pStyle w:val="UserStyle0"/>
      </w:pPr>
    </w:p>
    <w:p w:rsidR="00A64D61" w:rsidRDefault="00A64D61" w:rsidP="00A64D61">
      <w:pPr>
        <w:pStyle w:val="UserStyle0"/>
      </w:pPr>
    </w:p>
    <w:p w:rsidR="00A64D61" w:rsidRDefault="00A64D61" w:rsidP="00A64D61">
      <w:pPr>
        <w:pStyle w:val="UserStyle0"/>
      </w:pPr>
    </w:p>
    <w:p w:rsidR="00A64D61" w:rsidRDefault="00A64D61" w:rsidP="00A64D61">
      <w:pPr>
        <w:pStyle w:val="UserStyle0"/>
      </w:pPr>
    </w:p>
    <w:p w:rsidR="00A64D61" w:rsidRDefault="00A64D61" w:rsidP="00A64D61">
      <w:pPr>
        <w:pStyle w:val="UserStyle0"/>
      </w:pPr>
    </w:p>
    <w:p w:rsidR="00A64D61" w:rsidRDefault="00A64D61" w:rsidP="00A64D61">
      <w:pPr>
        <w:pStyle w:val="UserStyle0"/>
      </w:pPr>
    </w:p>
    <w:p w:rsidR="00A64D61" w:rsidRDefault="00A64D61" w:rsidP="00A64D61">
      <w:pPr>
        <w:pStyle w:val="UserStyle0"/>
      </w:pPr>
    </w:p>
    <w:p w:rsidR="00A64D61" w:rsidRDefault="00A64D61" w:rsidP="00A64D61">
      <w:pPr>
        <w:pStyle w:val="UserStyle0"/>
      </w:pPr>
    </w:p>
    <w:p w:rsidR="00A64D61" w:rsidRDefault="00A64D61" w:rsidP="00A64D61">
      <w:pPr>
        <w:pStyle w:val="UserStyle0"/>
      </w:pPr>
    </w:p>
    <w:p w:rsidR="00A64D61" w:rsidRDefault="00A64D61" w:rsidP="00A64D61">
      <w:pPr>
        <w:pStyle w:val="UserStyle0"/>
      </w:pPr>
    </w:p>
    <w:p w:rsidR="00A64D61" w:rsidRDefault="00A64D61" w:rsidP="00A64D61">
      <w:pPr>
        <w:pStyle w:val="UserStyle0"/>
      </w:pPr>
    </w:p>
    <w:p w:rsidR="00A64D61" w:rsidRDefault="00A64D61" w:rsidP="00A64D61">
      <w:pPr>
        <w:pStyle w:val="UserStyle0"/>
      </w:pPr>
    </w:p>
    <w:p w:rsidR="00A64D61" w:rsidRDefault="00A64D61" w:rsidP="00A64D61">
      <w:pPr>
        <w:pStyle w:val="UserStyle0"/>
      </w:pPr>
    </w:p>
    <w:p w:rsidR="00A64D61" w:rsidRDefault="00A64D61" w:rsidP="00A64D61">
      <w:pPr>
        <w:pStyle w:val="UserStyle0"/>
      </w:pPr>
    </w:p>
    <w:p w:rsidR="00A64D61" w:rsidRDefault="00A64D61" w:rsidP="00A64D61">
      <w:pPr>
        <w:pStyle w:val="UserStyle0"/>
      </w:pPr>
    </w:p>
    <w:p w:rsidR="00A64D61" w:rsidRPr="00A64D61" w:rsidRDefault="00A64D61" w:rsidP="00A64D61">
      <w:pPr>
        <w:pStyle w:val="UserStyle0"/>
      </w:pPr>
    </w:p>
    <w:p w:rsidR="009E2663" w:rsidRDefault="009E2663">
      <w:pPr>
        <w:jc w:val="left"/>
        <w:rPr>
          <w:rFonts w:ascii="黑体" w:eastAsia="黑体" w:hAnsi="黑体" w:cs="黑体"/>
          <w:sz w:val="32"/>
          <w:szCs w:val="32"/>
        </w:rPr>
      </w:pPr>
    </w:p>
    <w:p w:rsidR="009E2663" w:rsidRDefault="009E2663">
      <w:pPr>
        <w:jc w:val="center"/>
        <w:rPr>
          <w:rFonts w:ascii="宋体" w:hAnsi="宋体"/>
          <w:sz w:val="44"/>
          <w:szCs w:val="44"/>
        </w:rPr>
      </w:pPr>
    </w:p>
    <w:p w:rsidR="009E2663" w:rsidRDefault="009E2663">
      <w:pPr>
        <w:spacing w:line="600" w:lineRule="exact"/>
        <w:rPr>
          <w:sz w:val="36"/>
        </w:rPr>
      </w:pPr>
    </w:p>
    <w:p w:rsidR="009E2663" w:rsidRDefault="009E2663">
      <w:pPr>
        <w:spacing w:line="600" w:lineRule="exact"/>
        <w:rPr>
          <w:sz w:val="36"/>
        </w:rPr>
      </w:pPr>
    </w:p>
    <w:p w:rsidR="009E2663" w:rsidRDefault="009E2663">
      <w:pPr>
        <w:widowControl/>
        <w:shd w:val="clear" w:color="auto" w:fill="FFFFFF"/>
        <w:spacing w:line="579" w:lineRule="atLeast"/>
        <w:ind w:firstLine="640"/>
        <w:jc w:val="left"/>
        <w:rPr>
          <w:rFonts w:ascii="微软雅黑" w:eastAsia="微软雅黑" w:hAnsi="微软雅黑" w:cs="微软雅黑"/>
          <w:color w:val="C00000"/>
          <w:sz w:val="24"/>
        </w:rPr>
      </w:pPr>
    </w:p>
    <w:p w:rsidR="009E2663" w:rsidRDefault="00563E85">
      <w:pPr>
        <w:widowControl/>
        <w:shd w:val="clear" w:color="auto" w:fill="FFFFFF"/>
        <w:ind w:firstLine="640"/>
        <w:jc w:val="center"/>
        <w:rPr>
          <w:rFonts w:ascii="微软雅黑" w:eastAsia="微软雅黑" w:hAnsi="微软雅黑" w:cs="微软雅黑"/>
          <w:color w:val="444444"/>
          <w:sz w:val="24"/>
        </w:rPr>
      </w:pPr>
      <w:r>
        <w:rPr>
          <w:rFonts w:ascii="宋体" w:hAnsi="宋体" w:cs="宋体" w:hint="eastAsia"/>
          <w:color w:val="000000"/>
          <w:kern w:val="0"/>
          <w:sz w:val="32"/>
          <w:szCs w:val="32"/>
          <w:shd w:val="clear" w:color="auto" w:fill="FFFFFF"/>
        </w:rPr>
        <w:t> </w:t>
      </w:r>
    </w:p>
    <w:p w:rsidR="009E2663" w:rsidRDefault="00563E85">
      <w:pPr>
        <w:widowControl/>
        <w:shd w:val="clear" w:color="auto" w:fill="FFFFFF"/>
        <w:spacing w:line="600" w:lineRule="atLeast"/>
        <w:ind w:firstLine="480"/>
        <w:jc w:val="left"/>
        <w:rPr>
          <w:rFonts w:ascii="微软雅黑" w:eastAsia="微软雅黑" w:hAnsi="微软雅黑" w:cs="微软雅黑"/>
          <w:color w:val="444444"/>
          <w:sz w:val="24"/>
        </w:rPr>
      </w:pPr>
      <w:r>
        <w:rPr>
          <w:rFonts w:ascii="宋体" w:hAnsi="宋体" w:cs="宋体" w:hint="eastAsia"/>
          <w:color w:val="444444"/>
          <w:kern w:val="0"/>
          <w:sz w:val="24"/>
          <w:shd w:val="clear" w:color="auto" w:fill="FFFFFF"/>
        </w:rPr>
        <w:t> </w:t>
      </w:r>
    </w:p>
    <w:p w:rsidR="009E2663" w:rsidRDefault="009E2663"/>
    <w:sectPr w:rsidR="009E2663" w:rsidSect="009E266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E40" w:rsidRDefault="00EA4E40" w:rsidP="00A64D61">
      <w:r>
        <w:separator/>
      </w:r>
    </w:p>
  </w:endnote>
  <w:endnote w:type="continuationSeparator" w:id="0">
    <w:p w:rsidR="00EA4E40" w:rsidRDefault="00EA4E40" w:rsidP="00A64D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E40" w:rsidRDefault="00EA4E40" w:rsidP="00A64D61">
      <w:r>
        <w:separator/>
      </w:r>
    </w:p>
  </w:footnote>
  <w:footnote w:type="continuationSeparator" w:id="0">
    <w:p w:rsidR="00EA4E40" w:rsidRDefault="00EA4E40" w:rsidP="00A64D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2D7B0"/>
    <w:multiLevelType w:val="singleLevel"/>
    <w:tmpl w:val="6322D7B0"/>
    <w:lvl w:ilvl="0">
      <w:start w:val="2"/>
      <w:numFmt w:val="chineseCounting"/>
      <w:suff w:val="nothing"/>
      <w:lvlText w:val="（%1）"/>
      <w:lvlJc w:val="left"/>
    </w:lvl>
  </w:abstractNum>
  <w:abstractNum w:abstractNumId="1">
    <w:nsid w:val="6323DB4F"/>
    <w:multiLevelType w:val="singleLevel"/>
    <w:tmpl w:val="6323DB4F"/>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454FA"/>
    <w:rsid w:val="00136ECE"/>
    <w:rsid w:val="00563E85"/>
    <w:rsid w:val="005D20FD"/>
    <w:rsid w:val="006E601D"/>
    <w:rsid w:val="009E2663"/>
    <w:rsid w:val="00A64D61"/>
    <w:rsid w:val="00C454FA"/>
    <w:rsid w:val="00D60B80"/>
    <w:rsid w:val="00EA4E40"/>
    <w:rsid w:val="0E2E0E32"/>
    <w:rsid w:val="104B27C4"/>
    <w:rsid w:val="189B7984"/>
    <w:rsid w:val="4BB24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UserStyle0"/>
    <w:qFormat/>
    <w:rsid w:val="009E266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a"/>
    <w:qFormat/>
    <w:rsid w:val="009E2663"/>
    <w:pPr>
      <w:spacing w:after="120" w:line="480" w:lineRule="auto"/>
      <w:ind w:leftChars="200" w:left="420"/>
      <w:textAlignment w:val="baseline"/>
    </w:pPr>
  </w:style>
  <w:style w:type="paragraph" w:styleId="a3">
    <w:name w:val="Body Text Indent"/>
    <w:basedOn w:val="a"/>
    <w:rsid w:val="009E2663"/>
    <w:pPr>
      <w:ind w:leftChars="200" w:left="420"/>
    </w:pPr>
    <w:rPr>
      <w:kern w:val="0"/>
      <w:sz w:val="24"/>
      <w:szCs w:val="20"/>
    </w:rPr>
  </w:style>
  <w:style w:type="paragraph" w:styleId="2">
    <w:name w:val="Body Text First Indent 2"/>
    <w:basedOn w:val="a3"/>
    <w:next w:val="a"/>
    <w:rsid w:val="009E2663"/>
    <w:pPr>
      <w:ind w:firstLineChars="200" w:firstLine="420"/>
    </w:pPr>
  </w:style>
  <w:style w:type="paragraph" w:styleId="a4">
    <w:name w:val="Normal (Web)"/>
    <w:basedOn w:val="a"/>
    <w:rsid w:val="009E2663"/>
    <w:pPr>
      <w:spacing w:before="100" w:beforeAutospacing="1" w:after="100" w:afterAutospacing="1"/>
      <w:jc w:val="left"/>
    </w:pPr>
    <w:rPr>
      <w:kern w:val="0"/>
      <w:sz w:val="24"/>
    </w:rPr>
  </w:style>
  <w:style w:type="paragraph" w:customStyle="1" w:styleId="Normal">
    <w:name w:val="[Normal]"/>
    <w:basedOn w:val="a"/>
    <w:rsid w:val="009E2663"/>
    <w:pPr>
      <w:widowControl/>
      <w:jc w:val="left"/>
    </w:pPr>
    <w:rPr>
      <w:rFonts w:ascii="宋体" w:hAnsi="宋体" w:hint="eastAsia"/>
      <w:kern w:val="0"/>
      <w:sz w:val="24"/>
      <w:szCs w:val="20"/>
    </w:rPr>
  </w:style>
  <w:style w:type="paragraph" w:customStyle="1" w:styleId="1">
    <w:name w:val="样式1"/>
    <w:basedOn w:val="a"/>
    <w:qFormat/>
    <w:rsid w:val="009E2663"/>
    <w:rPr>
      <w:sz w:val="32"/>
      <w:szCs w:val="32"/>
    </w:rPr>
  </w:style>
  <w:style w:type="paragraph" w:styleId="a5">
    <w:name w:val="header"/>
    <w:basedOn w:val="a"/>
    <w:link w:val="Char"/>
    <w:rsid w:val="00A64D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64D61"/>
    <w:rPr>
      <w:rFonts w:ascii="Calibri" w:hAnsi="Calibri"/>
      <w:kern w:val="2"/>
      <w:sz w:val="18"/>
      <w:szCs w:val="18"/>
    </w:rPr>
  </w:style>
  <w:style w:type="paragraph" w:styleId="a6">
    <w:name w:val="footer"/>
    <w:basedOn w:val="a"/>
    <w:link w:val="Char0"/>
    <w:rsid w:val="00A64D61"/>
    <w:pPr>
      <w:tabs>
        <w:tab w:val="center" w:pos="4153"/>
        <w:tab w:val="right" w:pos="8306"/>
      </w:tabs>
      <w:snapToGrid w:val="0"/>
      <w:jc w:val="left"/>
    </w:pPr>
    <w:rPr>
      <w:sz w:val="18"/>
      <w:szCs w:val="18"/>
    </w:rPr>
  </w:style>
  <w:style w:type="character" w:customStyle="1" w:styleId="Char0">
    <w:name w:val="页脚 Char"/>
    <w:basedOn w:val="a0"/>
    <w:link w:val="a6"/>
    <w:rsid w:val="00A64D61"/>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1626</Words>
  <Characters>9271</Characters>
  <Application>Microsoft Office Word</Application>
  <DocSecurity>0</DocSecurity>
  <Lines>77</Lines>
  <Paragraphs>21</Paragraphs>
  <ScaleCrop>false</ScaleCrop>
  <Company>微软中国</Company>
  <LinksUpToDate>false</LinksUpToDate>
  <CharactersWithSpaces>10876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2022-09-13T02:52:00Z</dcterms:created>
  <dcterms:modified xsi:type="dcterms:W3CDTF">2022-09-19T01:37:00Z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